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ΙΙ. 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Θέμα: Τροποποίηση της υπό στοιχεία Α.1020/6.2.2024 απόφασης του Υφυπουργού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w:t>
      </w:r>
    </w:p>
    <w:p>
      <w:pPr>
        <w:spacing w:before="240" w:after="240"/>
        <w:rPr>
          <w:lang w:val="el" w:eastAsia="el"/>
        </w:rPr>
      </w:pPr>
      <w:r>
        <w:rPr>
          <w:b/>
          <w:bCs/>
          <w:lang w:val="el" w:eastAsia="el"/>
        </w:rPr>
        <w:t>ΑΠΟΦΑΣΗΟ ΥΦΥΠΟΥΡΓΟΣ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16 καθώς και της παρ. 16 του άρθρου 83 του ν. 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lang w:val="el" w:eastAsia="el"/>
        </w:rPr>
        <w:t>δ)</w:t>
      </w:r>
      <w:r>
        <w:rPr>
          <w:lang w:val="en" w:eastAsia="en"/>
        </w:rPr>
        <w:tab/>
      </w:r>
      <w:r>
        <w:rPr>
          <w:b/>
          <w:bCs/>
          <w:lang w:val="el" w:eastAsia="el"/>
        </w:rPr>
        <w:t>του άρθρου 38 του ν.2873/2000 «Φορολογικές ελαφρύνσεις και απλουστεύσεις και άλλες διατάξεις» (Α΄285).</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4. </w:t>
      </w:r>
      <w:r>
        <w:rPr>
          <w:b/>
          <w:bCs/>
          <w:lang w:val="el" w:eastAsia="el"/>
        </w:rPr>
        <w:t>Το π.δ. 79/2023 «Διορισμός Υπουργών, Αναπληρωτών Υπουργών και Υφυπουργών» (Α΄131).</w:t>
      </w:r>
    </w:p>
    <w:p>
      <w:pPr>
        <w:spacing w:before="240" w:after="240"/>
        <w:rPr>
          <w:lang w:val="el" w:eastAsia="el"/>
        </w:rPr>
      </w:pPr>
      <w:r>
        <w:rPr>
          <w:b/>
          <w:bCs/>
          <w:lang w:val="el" w:eastAsia="el"/>
        </w:rPr>
        <w:t>5. την υπ’ αρ.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 xml:space="preserve">6.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7. </w:t>
      </w:r>
      <w:r>
        <w:rPr>
          <w:b/>
          <w:bCs/>
          <w:lang w:val="el" w:eastAsia="el"/>
        </w:rPr>
        <w:t>Την υπό στοιχεία Α.1020/6.2.2024 Απόφαση του Υφυπουργού Εθνικής Οικονομίας &amp;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spacing w:before="240" w:after="240"/>
        <w:rPr>
          <w:lang w:val="el" w:eastAsia="el"/>
        </w:rPr>
      </w:pPr>
      <w:r>
        <w:rPr>
          <w:lang w:val="el" w:eastAsia="el"/>
        </w:rPr>
        <w:t xml:space="preserve">8.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9. </w:t>
      </w:r>
      <w:r>
        <w:rPr>
          <w:b/>
          <w:bCs/>
          <w:lang w:val="el" w:eastAsia="el"/>
        </w:rPr>
        <w:t>Την από 03/07/2024 εισήγηση του Διοικητή της ΑΑΔΕ.</w:t>
      </w:r>
    </w:p>
    <w:p>
      <w:pPr>
        <w:spacing w:before="240" w:after="240"/>
        <w:rPr>
          <w:lang w:val="el" w:eastAsia="el"/>
        </w:rPr>
      </w:pPr>
      <w:r>
        <w:rPr>
          <w:lang w:val="el" w:eastAsia="el"/>
        </w:rPr>
        <w:t xml:space="preserve">10. </w:t>
      </w:r>
      <w:r>
        <w:rPr>
          <w:b/>
          <w:bCs/>
          <w:lang w:val="el" w:eastAsia="el"/>
        </w:rPr>
        <w:t>Την ανάγκη διευκόλυνσης και βελτίωσης της φορολογικής συμμόρφωσης των οντοτήτων μέσω αξιοποίησης των δεδομένων που διαβιβάζονται ηλεκτρονικά στην ΑΑΔΕ και προσυμπλήρωσης των στοιχείων των φορολογικών δηλωτικών υποχρεώσεων τους.</w:t>
      </w:r>
    </w:p>
    <w:p>
      <w:pPr>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A.1020/6.2.2024 απόφαση του Υφυπουργού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ως ακολούθως:</w:t>
      </w:r>
    </w:p>
    <w:p>
      <w:pPr>
        <w:spacing w:before="240" w:after="240"/>
        <w:rPr>
          <w:lang w:val="el" w:eastAsia="el"/>
        </w:rPr>
      </w:pPr>
      <w:r>
        <w:rPr>
          <w:lang w:val="el" w:eastAsia="el"/>
        </w:rPr>
        <w:t xml:space="preserve">1. </w:t>
      </w:r>
      <w:r>
        <w:rPr>
          <w:b/>
          <w:bCs/>
          <w:lang w:val="el" w:eastAsia="el"/>
        </w:rPr>
        <w:t>. Η περ. δ’ της παρ. 1 του άρθρου 3 αντικαθίσταται ως εξής:</w:t>
      </w:r>
    </w:p>
    <w:p>
      <w:pPr>
        <w:spacing w:before="240" w:after="240"/>
        <w:rPr>
          <w:lang w:val="el" w:eastAsia="el"/>
        </w:rPr>
      </w:pPr>
      <w:r>
        <w:rPr>
          <w:b/>
          <w:bCs/>
          <w:lang w:val="el" w:eastAsia="el"/>
        </w:rPr>
        <w:t>«δ) Στην περίπτωση αντικειμενικής δυσκολίας διόρθωσης ποσών εσόδων και ορθής απεικόνισης του συνολικού αθροίσματος εκροών ανά φορολογική περίοδο Δήλωσης ΦΠΑ, επιτρέπεται η διαβίβαση δεδομένων με εναλλακτικό τρόπο και συγκεκριμένα με Τύπο Παραστατικού 11.4 - Πιστωτικό Στοιχείο Λιανικής με ένδειξη «Λογιστική Εγγραφή» και διακριτή αναφορά στα σχόλια για το έτος 2024 με την ένδειξη «Δυσχέρεια Συσχέτισης». Στην περίπτωση χρήσης της ειδικής φόρμας καταχώρησης της περ. γ' της παρ. 6 του άρθρου 4 της υπό στοιχεία Α.1138/2020 κοινής απόφασης του Υφυπουργού Οικονομικών και του Διοικητή της ΑΑΔΕ, στο πεδίο Σειρά αναγράφεται υποχρεωτικά και η ένδειξη «παρ. 2 αρ.16 ΚΦΔ».»</w:t>
      </w:r>
    </w:p>
    <w:p>
      <w:pPr>
        <w:spacing w:before="240" w:after="240"/>
        <w:rPr>
          <w:lang w:val="el" w:eastAsia="el"/>
        </w:rPr>
      </w:pPr>
      <w:r>
        <w:rPr>
          <w:lang w:val="el" w:eastAsia="el"/>
        </w:rPr>
        <w:t xml:space="preserve">2. </w:t>
      </w:r>
      <w:r>
        <w:rPr>
          <w:b/>
          <w:bCs/>
          <w:lang w:val="el" w:eastAsia="el"/>
        </w:rPr>
        <w:t>Η περ. δ’ της παρ.2 του άρθρου 3 αντικαθίσταται ως εξής:</w:t>
      </w:r>
    </w:p>
    <w:p>
      <w:pPr>
        <w:pStyle w:val="StructureList1"/>
        <w:spacing w:before="120" w:after="0"/>
        <w:rPr>
          <w:lang w:val="el" w:eastAsia="el"/>
        </w:rPr>
      </w:pPr>
      <w:r>
        <w:rPr>
          <w:lang w:val="el" w:eastAsia="el"/>
        </w:rPr>
        <w:t>δ)</w:t>
      </w:r>
      <w:r>
        <w:rPr>
          <w:lang w:val="en" w:eastAsia="en"/>
        </w:rPr>
        <w:tab/>
      </w:r>
      <w:r>
        <w:rPr>
          <w:b/>
          <w:bCs/>
          <w:lang w:val="el" w:eastAsia="el"/>
        </w:rPr>
        <w:t>Στην περίπτωση αντικειμενικής δυσκολίας διαβίβασης και ορθής απεικόνισης του συνολικού αθροίσματος εισροών ανά φορολογική περίοδο Δήλωσης ΦΠΑ επιτρέπεται η διαβίβαση δεδομένων με εναλλακτικό τρόπο και συγκεκριμένα με Τύπο Παραστατικού 14.30 - Παραστατικά Οντότητας ως Αναγράφονται από την ίδια (Δυναμικό) και διακριτή αναφορά στα σχόλια για το έτος 2024 με την ένδειξη «Δυσχέρεια Συσχέτισης». Στην περίπτωση χρήσης της ειδικής φόρμας καταχώρησης της περ. γ' της παρ. 6 του άρθρου 4 της υπό στοιχεία Α.1138/2020 κοινής απόφασης του Υφυπουργού Οικονομικών και του Διοικητή της ΑΑΔΕ, στο πεδίο Σειρά αναγράφεται υποχρεωτικά και η ένδειξη «παρ. 2 αρ.16 ΚΦΔ».</w:t>
      </w:r>
    </w:p>
    <w:p>
      <w:pPr>
        <w:spacing w:before="240" w:after="240"/>
        <w:rPr>
          <w:lang w:val="el" w:eastAsia="el"/>
        </w:rPr>
      </w:pPr>
      <w:r>
        <w:rPr>
          <w:lang w:val="el" w:eastAsia="el"/>
        </w:rPr>
        <w:t xml:space="preserve">3. </w:t>
      </w:r>
      <w:r>
        <w:rPr>
          <w:b/>
          <w:bCs/>
          <w:lang w:val="el" w:eastAsia="el"/>
        </w:rPr>
        <w:t>Το άρθρο 4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ΚΑΘΟΡΙΣΜΟΣ ΟΡΙΩΝ ΑΝΕΚΤΩΝ ΑΠΟΚΛΙΣΕΩΝ ΑΠΟ ΤΟΝ ΠΕΡΙΟΡΙΣΜΟ ΤΩΝ ΚΑΝΟΝΩΝ ΕΣΟΔΩΝ</w:t>
      </w:r>
    </w:p>
    <w:p>
      <w:pPr>
        <w:spacing w:before="240" w:after="240"/>
        <w:rPr>
          <w:lang w:val="el" w:eastAsia="el"/>
        </w:rPr>
      </w:pPr>
      <w:r>
        <w:rPr>
          <w:b/>
          <w:bCs/>
          <w:lang w:val="el" w:eastAsia="el"/>
        </w:rPr>
        <w:t>- ΕΞΟΔΩΝ</w:t>
      </w:r>
    </w:p>
    <w:p>
      <w:pPr>
        <w:spacing w:before="240" w:after="240"/>
        <w:rPr>
          <w:lang w:val="el" w:eastAsia="el"/>
        </w:rPr>
      </w:pPr>
      <w:r>
        <w:rPr>
          <w:b/>
          <w:bCs/>
          <w:lang w:val="el" w:eastAsia="el"/>
        </w:rPr>
        <w:t>Τα όρια ανεκτών αποκλίσεων από τον περιορισμό των κανόνων εσόδων - εξόδων καθορίζονται για το έτος 2024 ανά φορολογική περίοδο ως εξής:</w:t>
      </w:r>
    </w:p>
    <w:p>
      <w:pPr>
        <w:spacing w:before="240" w:after="240"/>
        <w:rPr>
          <w:lang w:val="el" w:eastAsia="el"/>
        </w:rPr>
      </w:pPr>
      <w:r>
        <w:rPr>
          <w:b/>
          <w:bCs/>
          <w:lang w:val="el" w:eastAsia="el"/>
        </w:rPr>
        <w:t>α) Από την 1.1.2024 έως και την 30.6.2024 σε τριάντα τοις εκατό (30%) στην περίπτωση δεδομένων εσόδων, καθώς και σε τριάντα τοις εκατό (30%) στην περίπτωση δεδομένων εξόδων.</w:t>
      </w:r>
    </w:p>
    <w:p>
      <w:pPr>
        <w:spacing w:before="240" w:after="240"/>
        <w:rPr>
          <w:lang w:val="el" w:eastAsia="el"/>
        </w:rPr>
      </w:pPr>
      <w:r>
        <w:rPr>
          <w:b/>
          <w:bCs/>
          <w:lang w:val="el" w:eastAsia="el"/>
        </w:rPr>
        <w:t>β) Από την 1.7.2024 έως και την 30.9.2024 σε δέκα τοις εκατό (10%) στην περίπτωση δεδομένων εσόδων, καθώς και σε είκοσι τοις εκατό (20%) στην περίπτωση δεδομένων εξόδων. γ) Από την 1.10.2024 έως και την 31.12.2024 σε μηδέν τοις εκατό (0%) στην περίπτωση δεδομένων εσόδων, καθώς και σε πέντε τοις εκατό (5%) στην περίπτωση δεδομένων εξόδων.</w:t>
      </w:r>
    </w:p>
    <w:p>
      <w:pPr>
        <w:spacing w:before="240" w:after="240"/>
        <w:rPr>
          <w:lang w:val="el" w:eastAsia="el"/>
        </w:rPr>
      </w:pPr>
      <w:r>
        <w:rPr>
          <w:b/>
          <w:bCs/>
          <w:lang w:val="el" w:eastAsia="el"/>
        </w:rPr>
        <w:t>Από την 1.1.2025 και εφεξής παύουν να υφίστανται τα επιτρεπτά όρια αποκλίσεων που ορίζονται στην παρούσα στην περίπτωση δεδομένων εσόδων και εξόδων ανά φορολογική περίοδο δήλωσης ΦΠΑ σε σχέση με τα αντίστοιχα δεδομένα που έχουν διαβιβαστεί στην ψηφιακή πλατφόρμα myDATA.».</w:t>
      </w:r>
    </w:p>
    <w:p>
      <w:pPr>
        <w:spacing w:before="240" w:after="240"/>
        <w:rPr>
          <w:lang w:val="el" w:eastAsia="el"/>
        </w:rPr>
      </w:pPr>
      <w:r>
        <w:rPr>
          <w:lang w:val="el" w:eastAsia="el"/>
        </w:rPr>
        <w:t xml:space="preserve">4.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&amp; </w:t>
      </w:r>
    </w:p>
    <w:p>
      <w:pPr>
        <w:spacing w:before="240" w:after="240"/>
        <w:rPr>
          <w:lang w:val="el" w:eastAsia="el"/>
        </w:rPr>
      </w:pPr>
      <w:r>
        <w:rPr>
          <w:b/>
          <w:bCs/>
          <w:lang w:val="el" w:eastAsia="el"/>
        </w:rPr>
        <w:t>ΟΙΚΟΝΟΜΙΚΩΝΧΡΙΣΤΟΣ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Προϊστάμενος της Γενικής Δ/νσης Σ.Δ.Ο.Ε.</w:t>
      </w:r>
    </w:p>
    <w:p>
      <w:pPr>
        <w:spacing w:before="240" w:after="240"/>
        <w:rPr>
          <w:lang w:val="el" w:eastAsia="el"/>
        </w:rPr>
      </w:pPr>
      <w:r>
        <w:rPr>
          <w:lang w:val="el" w:eastAsia="el"/>
        </w:rPr>
        <w:t xml:space="preserve">5. </w:t>
      </w:r>
      <w:r>
        <w:rPr>
          <w:b/>
          <w:bCs/>
          <w:lang w:val="el" w:eastAsia="el"/>
        </w:rPr>
        <w:t>Αποδέκτες πίνακα Ζ’, Η΄</w:t>
      </w:r>
    </w:p>
    <w:p>
      <w:pPr>
        <w:spacing w:before="240" w:after="240"/>
        <w:rPr>
          <w:lang w:val="el" w:eastAsia="el"/>
        </w:rPr>
      </w:pPr>
      <w:r>
        <w:rPr>
          <w:lang w:val="el" w:eastAsia="el"/>
        </w:rPr>
        <w:t xml:space="preserve">6. </w:t>
      </w:r>
      <w:r>
        <w:rPr>
          <w:b/>
          <w:bCs/>
          <w:lang w:val="el" w:eastAsia="el"/>
        </w:rPr>
        <w:t>Αποδέκτες πίνακα ΙΑ’ εκτός από τα υποθηκοφυλάκεια, ΙΣΤ΄</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ΙΓ’</w:t>
      </w:r>
    </w:p>
    <w:p>
      <w:pPr>
        <w:spacing w:before="240" w:after="240"/>
        <w:rPr>
          <w:lang w:val="el" w:eastAsia="el"/>
        </w:rPr>
      </w:pPr>
      <w:r>
        <w:rPr>
          <w:lang w:val="el" w:eastAsia="el"/>
        </w:rPr>
        <w:t xml:space="preserve">9.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Αποδέκτες πίνακα ΙΖ’</w:t>
      </w:r>
    </w:p>
    <w:p>
      <w:pPr>
        <w:spacing w:before="240" w:after="240"/>
        <w:rPr>
          <w:lang w:val="el" w:eastAsia="el"/>
        </w:rPr>
      </w:pPr>
      <w:r>
        <w:rPr>
          <w:lang w:val="el" w:eastAsia="el"/>
        </w:rPr>
        <w:t xml:space="preserve">11. </w:t>
      </w:r>
      <w:r>
        <w:rPr>
          <w:b/>
          <w:bCs/>
          <w:lang w:val="el" w:eastAsia="el"/>
        </w:rPr>
        <w:t>Αποδέκτες πίνακα ΙΗ’</w:t>
      </w:r>
    </w:p>
    <w:p>
      <w:pPr>
        <w:spacing w:before="240" w:after="240"/>
        <w:rPr>
          <w:lang w:val="el" w:eastAsia="el"/>
        </w:rPr>
      </w:pPr>
      <w:r>
        <w:rPr>
          <w:lang w:val="el" w:eastAsia="el"/>
        </w:rPr>
        <w:t xml:space="preserve">12. </w:t>
      </w:r>
      <w:r>
        <w:rPr>
          <w:b/>
          <w:bCs/>
          <w:lang w:val="el" w:eastAsia="el"/>
        </w:rPr>
        <w:t>Αποδέκτες πίνακα ΚΒ’</w:t>
      </w:r>
    </w:p>
    <w:p>
      <w:pPr>
        <w:spacing w:before="240" w:after="240"/>
        <w:rPr>
          <w:lang w:val="el" w:eastAsia="el"/>
        </w:rPr>
      </w:pPr>
      <w:r>
        <w:rPr>
          <w:lang w:val="el" w:eastAsia="el"/>
        </w:rPr>
        <w:t xml:space="preserve">13. </w:t>
      </w:r>
      <w:r>
        <w:rPr>
          <w:b/>
          <w:bCs/>
          <w:lang w:val="el" w:eastAsia="el"/>
        </w:rPr>
        <w:t>Αποδέκτες πίνακα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Φορολογιας</w:t>
      </w:r>
    </w:p>
    <w:p>
      <w:pPr>
        <w:spacing w:before="240" w:after="240"/>
        <w:rPr>
          <w:lang w:val="el" w:eastAsia="el"/>
        </w:rPr>
      </w:pPr>
      <w:r>
        <w:rPr>
          <w:lang w:val="el" w:eastAsia="el"/>
        </w:rPr>
        <w:t xml:space="preserve">4. </w:t>
      </w:r>
      <w:r>
        <w:rPr>
          <w:b/>
          <w:bCs/>
          <w:lang w:val="el" w:eastAsia="el"/>
        </w:rPr>
        <w:t>Δ/νση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Διαχείρισης Υποδομών- Τμήμα Ε΄</w:t>
      </w:r>
    </w:p>
    <w:p>
      <w:pPr>
        <w:spacing w:before="240" w:after="240"/>
        <w:rPr>
          <w:lang w:val="el" w:eastAsia="el"/>
        </w:rPr>
      </w:pPr>
      <w:r>
        <w:rPr>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