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 ΛΑΔΕ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9ΛΜ546ΜΠ3Ζ-22Ξ</w:t>
      </w:r>
    </w:p>
    <w:p>
      <w:pPr>
        <w:spacing w:before="240" w:after="240"/>
        <w:rPr>
          <w:lang w:val="el" w:eastAsia="el"/>
        </w:rPr>
      </w:pPr>
      <w:r>
        <w:rPr>
          <w:b/>
          <w:bCs/>
          <w:lang w:val="el" w:eastAsia="el"/>
        </w:rPr>
        <w:t>Αριθ. ΦΕΚ: 4103 Β΄/12.07.2024</w:t>
      </w:r>
    </w:p>
    <w:p>
      <w:pPr>
        <w:spacing w:before="240" w:after="240"/>
        <w:rPr>
          <w:lang w:val="el" w:eastAsia="el"/>
        </w:rPr>
      </w:pPr>
      <w:r>
        <w:rPr>
          <w:b/>
          <w:bCs/>
          <w:lang w:val="el" w:eastAsia="el"/>
        </w:rPr>
        <w:t>Αθήνα, 10 Ιουλίου 2024</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Α.1111</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2103635963,</w:t>
      </w:r>
    </w:p>
    <w:p>
      <w:pPr>
        <w:spacing w:before="240" w:after="240"/>
        <w:rPr>
          <w:lang w:val="el" w:eastAsia="el"/>
        </w:rPr>
      </w:pPr>
      <w:r>
        <w:rPr>
          <w:b/>
          <w:bCs/>
          <w:lang w:val="el" w:eastAsia="el"/>
        </w:rPr>
        <w:t>2103605159, 2103630573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1143/21.09.2023 απόφασης του Υφυπουργού Εθνικής Οικονομίας και Οικονομικών «Παράταση καταβολής και αναστολής είσπραξης βεβαιωμένων οφειλών για τα φυσικά και νομικά πρόσωπα που επλήγησαν από τα έντονα καιρικά φαινόμενα (ισχυρές βροχοπτώσεις,πλημμύρες) που εκδηλώθηκαν τον Σεπτέμβριο του 2023» (Β΄5599)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ν.5104/2024«Κώδικας Φορολογικής Διαδικασίας και άλλες διατάξεις» (Α΄ 58).</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9.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Οικονομικών, Χρίστο Δήμα» (Β΄3472).</w:t>
      </w:r>
    </w:p>
    <w:p>
      <w:pPr>
        <w:spacing w:before="240" w:after="240"/>
        <w:rPr>
          <w:lang w:val="el" w:eastAsia="el"/>
        </w:rPr>
      </w:pPr>
      <w:r>
        <w:rPr>
          <w:lang w:val="el" w:eastAsia="el"/>
        </w:rPr>
        <w:t xml:space="preserve">10. </w:t>
      </w:r>
      <w:r>
        <w:rPr>
          <w:b/>
          <w:bCs/>
          <w:lang w:val="el" w:eastAsia="el"/>
        </w:rPr>
        <w:t>Το υπ’ αρ. 132/23.11.2023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lang w:val="el" w:eastAsia="el"/>
        </w:rPr>
        <w:t xml:space="preserve">11. </w:t>
      </w:r>
      <w:r>
        <w:rPr>
          <w:b/>
          <w:bCs/>
          <w:lang w:val="el" w:eastAsia="el"/>
        </w:rPr>
        <w:t>Το υπ’ αρ. 177/22.12.2023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lang w:val="el" w:eastAsia="el"/>
        </w:rPr>
        <w:t xml:space="preserve">12. </w:t>
      </w:r>
      <w:r>
        <w:rPr>
          <w:b/>
          <w:bCs/>
          <w:lang w:val="el" w:eastAsia="el"/>
        </w:rPr>
        <w:t>Το υπ’ αρ. 179/01.05.2024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lang w:val="el" w:eastAsia="el"/>
        </w:rPr>
        <w:t xml:space="preserve">13. </w:t>
      </w:r>
      <w:r>
        <w:rPr>
          <w:b/>
          <w:bCs/>
          <w:lang w:val="el" w:eastAsia="el"/>
        </w:rPr>
        <w:t>Την υπό στοιχεία Α. 1143/21.09.2023 (Β΄5599) απόφαση Υφυπουργού Εθνικής Οικονομίας και Οικονομικών, όπως τροποποιήθηκε με τις υπό στοιχεία Α.1188/30.11.2023 (Β΄6720), Α.1216/29.12.2023 (Β΄7465), Α.1056/12.04.2024 (Β΄2329) και Α.1077/02.05.2024 (Β΄2669) όμοιες αποφάσεις, και την ανάγκη εκ νέου τροποποίησης αυτής, λόγω παροχής νέων στοιχείων σχετικά με τους πληγέντες.</w:t>
      </w:r>
    </w:p>
    <w:p>
      <w:pPr>
        <w:spacing w:before="240" w:after="240"/>
        <w:rPr>
          <w:lang w:val="el" w:eastAsia="el"/>
        </w:rPr>
      </w:pPr>
      <w:r>
        <w:rPr>
          <w:lang w:val="el" w:eastAsia="el"/>
        </w:rPr>
        <w:t xml:space="preserve">14.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Η υπό στοιχεία Α. 1143/21.09.2023 απόφαση του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 τροποποιείται ως εξής:</w:t>
      </w:r>
    </w:p>
    <w:p>
      <w:pPr>
        <w:spacing w:before="240" w:after="240"/>
        <w:rPr>
          <w:lang w:val="el" w:eastAsia="el"/>
        </w:rPr>
      </w:pPr>
      <w:r>
        <w:rPr>
          <w:b/>
          <w:bCs/>
          <w:lang w:val="el" w:eastAsia="el"/>
        </w:rPr>
        <w:t>Η υποπαρ. β της παρ. 1 του άρθρου 1 αντικαθίσταται ως εξής:</w:t>
      </w:r>
    </w:p>
    <w:p>
      <w:pPr>
        <w:spacing w:before="240" w:after="240"/>
        <w:rPr>
          <w:lang w:val="el" w:eastAsia="el"/>
        </w:rPr>
      </w:pPr>
      <w:r>
        <w:rPr>
          <w:b/>
          <w:bCs/>
          <w:lang w:val="el" w:eastAsia="el"/>
        </w:rPr>
        <w:t>«β. Παρατείνονται μέχρι και την 30.09.2024 οι προθεσμίες καταβολής των βεβαιωμένων στις Δ.Ο.Υ./ΚΕΜΕΕΠ/ΚΕΦΟΜΕΠ/ΚΕΒΕΙΣ οφειλών, οι οποίες λήγουν ή έληξαν από 04.09.2023 μέχρι και 30.09.2024,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179/01.05.2024 εγγράφων του Γενικού Γραμματέα Αποκατάστασης Φυσικών Καταστροφών και Κρατικής Αρωγής και του υπ’ αρ. 985/18.06.2024 εγγράφου του Υφυπουργού Κλιματικής Κρίσης και Πολιτικής Προστασίας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lang w:val="el" w:eastAsia="el"/>
        </w:rPr>
        <w:t xml:space="preserve">6) </w:t>
      </w:r>
      <w:r>
        <w:rPr>
          <w:b/>
          <w:bCs/>
          <w:lang w:val="el" w:eastAsia="el"/>
        </w:rPr>
        <w:t>Υπηρεσία Εφαρμογής Ευρωπαϊκών Προγραμμάτων της Βουλής των Ελλήνων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