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107410 ΕΞ 202</w:t>
      </w:r>
      <w:r>
        <w:rPr>
          <w:lang w:val="el" w:eastAsia="el"/>
        </w:rPr>
        <w:t xml:space="preserve">4 </w:t>
      </w:r>
    </w:p>
    <w:p>
      <w:pPr>
        <w:spacing w:before="240" w:after="240"/>
        <w:rPr>
          <w:lang w:val="el" w:eastAsia="el"/>
        </w:rPr>
      </w:pPr>
      <w:r>
        <w:rPr>
          <w:b/>
          <w:bCs/>
          <w:lang w:val="el" w:eastAsia="el"/>
        </w:rPr>
        <w:t>Τροποποίηση της υπό στοιχεία 77697 ΕΞ/ 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27 και την παρ. 5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w:t>
      </w:r>
    </w:p>
    <w:p>
      <w:pPr>
        <w:spacing w:before="240" w:after="240"/>
        <w:rPr>
          <w:lang w:val="el" w:eastAsia="el"/>
        </w:rPr>
      </w:pPr>
      <w:r>
        <w:rPr>
          <w:lang w:val="el" w:eastAsia="el"/>
        </w:rPr>
        <w:t>ΘΕΟΔΩΡΙΚΑΚΟΣ</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Το π.δ. 32/2024 «Διορισμός Υπουργών, Αναπληρωτών Υπουργών και Υφυπουργών» (Α’ 91).</w:t>
      </w:r>
    </w:p>
    <w:p>
      <w:pPr>
        <w:spacing w:before="240" w:after="240"/>
        <w:rPr>
          <w:lang w:val="el" w:eastAsia="el"/>
        </w:rPr>
      </w:pPr>
      <w:r>
        <w:rPr>
          <w:lang w:val="el" w:eastAsia="el"/>
        </w:rPr>
        <w:t>8. Το π.δ. 142/2017 «Οργανισμός Υπουργείου Οικονομικών» (Α’ 181).</w:t>
      </w:r>
    </w:p>
    <w:p>
      <w:pPr>
        <w:spacing w:before="240" w:after="240"/>
        <w:rPr>
          <w:lang w:val="el" w:eastAsia="el"/>
        </w:rPr>
      </w:pPr>
      <w:r>
        <w:rPr>
          <w:lang w:val="el" w:eastAsia="el"/>
        </w:rPr>
        <w:t>9. Το π.δ. 147/2017 «Οργανισμός του Υπουργείου Οικονομίας και Ανάπτυξης» (Α’ 192).</w:t>
      </w:r>
    </w:p>
    <w:p>
      <w:pPr>
        <w:spacing w:before="240" w:after="240"/>
        <w:rPr>
          <w:lang w:val="el" w:eastAsia="el"/>
        </w:rPr>
      </w:pPr>
      <w:r>
        <w:rPr>
          <w:lang w:val="el" w:eastAsia="el"/>
        </w:rPr>
        <w:t>10. Τον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11.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12. Την υπό στοιχεία 77697 ΕΞ/29.6.2021 κοινή απόφαση των Υπουργών Οικονομικών και Ανάπτυξης και Επενδύσεων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Την απαλοιφή της περ. δ) της παρ. 11.1. του άρθρου 11 της υπό στοιχεία 77697 ΕΞ/29.6.2021 κοινής απόφασης των Υπουργών Οικονομικών και Ανάπτυξης και Επενδύσεων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και την τροποποίηση της παραγράφου αυτής, ως ακολούθως:</w:t>
      </w:r>
    </w:p>
    <w:p>
      <w:pPr>
        <w:spacing w:before="240" w:after="240"/>
        <w:rPr>
          <w:lang w:val="el" w:eastAsia="el"/>
        </w:rPr>
      </w:pPr>
      <w:r>
        <w:rPr>
          <w:lang w:val="el" w:eastAsia="el"/>
        </w:rPr>
        <w:t>«11.1 Η σύμβαση αναδιάρθρωσης οφειλής, μπορεί να καταγγελθεί από οποιονδήποτε συμμετέχοντα πιστωτή, κατά το μέρος που τον αφορά, εάν συντρέχει οποιοσδήποτε από τους ακόλουθους λόγους:</w:t>
      </w:r>
    </w:p>
    <w:p>
      <w:pPr>
        <w:spacing w:before="240" w:after="240"/>
        <w:rPr>
          <w:lang w:val="el" w:eastAsia="el"/>
        </w:rPr>
      </w:pPr>
      <w:r>
        <w:rPr>
          <w:lang w:val="el" w:eastAsia="el"/>
        </w:rPr>
        <w:t>α) Ο οφειλέτης καταστεί υπερήμερος ως προς καταβολές που προβλέπονται στη σύμβαση αναδιάρθρωσης, προς τον συγκεκριμένο Συμμετέχοντα Πιστωτή, με συνέπεια το συνολικό ύψος του ποσού σε καθυστέρηση να υπερβαίνει αθροιστικά είτε την αξία του ισόποσου τριών (3) μηνιαίων δόσεων, είτε την αξία τουλάχιστον τρία τοις εκατό (3%) του συνολικά οφειλομένου ποσού προς τον ως άνω Συμμετέχοντα Πιστωτή, σύμφωνα με την επιτευχθείσα ρύθμιση.</w:t>
      </w:r>
    </w:p>
    <w:p>
      <w:pPr>
        <w:spacing w:before="240" w:after="240"/>
        <w:rPr>
          <w:lang w:val="el" w:eastAsia="el"/>
        </w:rPr>
      </w:pPr>
      <w:r>
        <w:rPr>
          <w:lang w:val="el" w:eastAsia="el"/>
        </w:rPr>
        <w:t>β) Η σύμβαση ρύθμισης βασίστηκε, άμεσα ή έμμεσα, σε ανακριβείς ή ελλιπείς δηλώσεις ή στοιχεία που υπέβαλε οποτεδήποτε κατά τη διάρκεια της διαδικασίας ο αιτών - οφειλέτης ή/και συνοφειλέτες του καθώς και μέλη της οικογένειάς του.</w:t>
      </w:r>
    </w:p>
    <w:p>
      <w:pPr>
        <w:spacing w:before="240" w:after="240"/>
        <w:rPr>
          <w:lang w:val="el" w:eastAsia="el"/>
        </w:rPr>
      </w:pPr>
      <w:r>
        <w:rPr>
          <w:lang w:val="el" w:eastAsia="el"/>
        </w:rPr>
        <w:t>γ) Έχει υποβληθεί αίτηση πτώχευσης κατά του οφειλέτη ή/και συνοφειλέτη ή έχει υποβληθεί δήλωση του οφειλέτη ή/και συνοφειλέτη ότι αναστέλλει τις πληρωμές του ή επισπεύδεται εκτέλεση κατά περιουσιακών του οφειλέτη ή/και συνοφειλέτη ή επίκειται η λήψη δικαστικών μέτρων κατ’ του οφειλέτη ή/και συνοφειλέτη στο πλαίσιο οποιασδήποτε διαδικασίας αφερεγγυότητας.».</w:t>
      </w:r>
    </w:p>
    <w:p>
      <w:pPr>
        <w:spacing w:before="240" w:after="240"/>
        <w:rPr>
          <w:lang w:val="el" w:eastAsia="el"/>
        </w:rPr>
      </w:pPr>
      <w:r>
        <w:rPr>
          <w:lang w:val="el" w:eastAsia="el"/>
        </w:rPr>
        <w:t>2. Την απαλοιφή από το τελευταίο εδάφιο της παρ. 11.3 των λέξεων «με την επιφύλαξη της άνω υπό 11.1ε πρόβλεψης» του άρθρου 11 της υπό στοιχεία 77697 ΕΞ /29.6.2021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και την τροποποίηση του συγκεκριμένου εδαφίου, ως εξής: «Η απώλεια της ρύθμισης ως προς Συμμετέχοντα Πιστωτή δεν ασκεί επίδραση στη νομική θέση των λοιπών Συμμετεχόντων Πιστωτών.».</w:t>
      </w:r>
    </w:p>
    <w:p>
      <w:pPr>
        <w:spacing w:before="240" w:after="240"/>
        <w:rPr>
          <w:lang w:val="el" w:eastAsia="el"/>
        </w:rPr>
      </w:pPr>
      <w:r>
        <w:rPr>
          <w:lang w:val="el" w:eastAsia="el"/>
        </w:rPr>
        <w:t>Κατά τα λοιπά ισχύει η υπό στοιχεία 77697 ΕΞ/29.6.2021 (Β’ 2896) κοινή υπουργική απόφαση, ως έχει τροποποιηθεί και ισχύει.</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