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ΡΠΓΓ46ΜΠ3Ζ-8ΞΑ</w:t>
      </w:r>
    </w:p>
    <w:p>
      <w:pPr>
        <w:pStyle w:val="Title"/>
        <w:spacing w:before="120" w:after="360"/>
        <w:rPr>
          <w:lang w:val="el" w:eastAsia="el"/>
        </w:rPr>
      </w:pPr>
      <w:r>
        <w:rPr>
          <w:b/>
          <w:bCs/>
          <w:lang w:val="el" w:eastAsia="el"/>
        </w:rPr>
        <w:t>Αριθ. ΦΕΚ: Β’ 4404/26.7.2024</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-ΦΟΡΟΥ ΠΛΟΙΩΝ &amp; ΝΑΥΤΙΛΙΑΚΩΝ ΕΤΑΙΡΕΙΩΝ</w:t>
      </w:r>
    </w:p>
    <w:p>
      <w:pPr>
        <w:spacing w:before="240" w:after="240"/>
        <w:rPr>
          <w:lang w:val="el" w:eastAsia="el"/>
        </w:rPr>
      </w:pPr>
      <w:r>
        <w:rPr>
          <w:b/>
          <w:bCs/>
          <w:lang w:val="el" w:eastAsia="el"/>
        </w:rPr>
        <w:t xml:space="preserve">Καρ. Σερβίας 10 10184, Αθήνα 210 3375149-079 </w:t>
      </w:r>
      <w:hyperlink r:id="rId4" w:history="1">
        <w:r>
          <w:rPr>
            <w:rStyle w:val="Hyperlink"/>
            <w:b/>
            <w:bCs/>
            <w:color w:val="0000EE"/>
            <w:u w:color="0000EE"/>
            <w:lang w:val="el" w:eastAsia="el"/>
          </w:rPr>
          <w:t>deaf.c@aade.gr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Β. ΓΕΝΙΚΗ ΔΙΕΥΘΥΝΣΗ ΗΛΕΚΤΡΟΝΙΚΗΣ ΔΙΑΚΥΒΕΡΝΗΣΗΣ Α.Α.Δ.Ε</w:t>
      </w:r>
    </w:p>
    <w:p>
      <w:pPr>
        <w:spacing w:before="240" w:after="240"/>
        <w:rPr>
          <w:lang w:val="el" w:eastAsia="el"/>
        </w:rPr>
      </w:pPr>
      <w:r>
        <w:rPr>
          <w:b/>
          <w:bCs/>
          <w:lang w:val="el" w:eastAsia="el"/>
        </w:rPr>
        <w:t>ΔΙΕΥΘΥΝΣΗ ΑΝΑΠΤΥΞΗΣ ΦΟΡΟΛΟΓΙΚΩΝ ΕΦΑΡΜΟΓΩΝ (Δ.Α.Φ.Ε.) ΤΜΗΜΑ Α΄</w:t>
      </w:r>
    </w:p>
    <w:p>
      <w:pPr>
        <w:spacing w:before="240" w:after="240"/>
        <w:rPr>
          <w:lang w:val="el" w:eastAsia="el"/>
        </w:rPr>
      </w:pPr>
      <w:r>
        <w:rPr>
          <w:b/>
          <w:bCs/>
          <w:lang w:val="el" w:eastAsia="el"/>
        </w:rPr>
        <w:t>ΔΙΕΥΘΥΝΣΗ ΕΠΙΧΕΙΡΙΑΚΩΝ ΔΙΑΔΙΚΑΣΙΩΝ (ΔΙ.ΕΠΙ.ΔΙ.)</w:t>
      </w:r>
    </w:p>
    <w:p>
      <w:pPr>
        <w:spacing w:before="240" w:after="240"/>
        <w:rPr>
          <w:lang w:val="el" w:eastAsia="el"/>
        </w:rPr>
      </w:pPr>
      <w:r>
        <w:rPr>
          <w:b/>
          <w:bCs/>
          <w:lang w:val="el" w:eastAsia="el"/>
        </w:rPr>
        <w:t>ΥΠΟΔΙΕΥΘΥΝΣΗ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16"/>
        <w:gridCol w:w="41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ΤΜΗΜΑ Α΄</w:t>
            </w:r>
          </w:p>
          <w:p>
            <w:pPr>
              <w:spacing w:before="240" w:after="240"/>
              <w:rPr>
                <w:b w:val="0"/>
                <w:bCs w:val="0"/>
                <w:i w:val="0"/>
                <w:iCs w:val="0"/>
                <w:smallCaps w:val="0"/>
                <w:color w:val="000000"/>
                <w:lang w:val="el" w:eastAsia="el"/>
              </w:rPr>
            </w:pPr>
            <w:r>
              <w:rPr>
                <w:b/>
                <w:bCs/>
                <w:i w:val="0"/>
                <w:iCs w:val="0"/>
                <w:smallCaps w:val="0"/>
                <w:color w:val="000000"/>
                <w:lang w:val="el" w:eastAsia="el"/>
              </w:rPr>
              <w:t>Ταχ. Δ/νση Ταχ. Κωδ Τηλέφωνο Fax</w:t>
            </w:r>
          </w:p>
          <w:p>
            <w:pPr>
              <w:spacing w:before="240"/>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Χανδρή 1 &amp; Θεσσαλονίκης</w:t>
            </w:r>
          </w:p>
          <w:p>
            <w:pPr>
              <w:spacing w:before="240" w:after="240"/>
              <w:rPr>
                <w:b w:val="0"/>
                <w:bCs w:val="0"/>
                <w:i w:val="0"/>
                <w:iCs w:val="0"/>
                <w:smallCaps w:val="0"/>
                <w:color w:val="000000"/>
                <w:lang w:val="el" w:eastAsia="el"/>
              </w:rPr>
            </w:pPr>
            <w:r>
              <w:rPr>
                <w:b/>
                <w:bCs/>
                <w:i w:val="0"/>
                <w:iCs w:val="0"/>
                <w:smallCaps w:val="0"/>
                <w:color w:val="000000"/>
                <w:lang w:val="el" w:eastAsia="el"/>
              </w:rPr>
              <w:t>: 183 46 Μοσχάτο</w:t>
            </w:r>
          </w:p>
          <w:p>
            <w:pPr>
              <w:spacing w:before="240" w:after="240"/>
              <w:rPr>
                <w:b w:val="0"/>
                <w:bCs w:val="0"/>
                <w:i w:val="0"/>
                <w:iCs w:val="0"/>
                <w:smallCaps w:val="0"/>
                <w:color w:val="000000"/>
                <w:lang w:val="el" w:eastAsia="el"/>
              </w:rPr>
            </w:pPr>
            <w:r>
              <w:rPr>
                <w:b/>
                <w:bCs/>
                <w:i w:val="0"/>
                <w:iCs w:val="0"/>
                <w:smallCaps w:val="0"/>
                <w:color w:val="000000"/>
                <w:lang w:val="el" w:eastAsia="el"/>
              </w:rPr>
              <w:t>: 210-4803258/57</w:t>
            </w:r>
          </w:p>
          <w:p>
            <w:pPr>
              <w:spacing w:before="240" w:after="240"/>
              <w:rPr>
                <w:b w:val="0"/>
                <w:bCs w:val="0"/>
                <w:i w:val="0"/>
                <w:iCs w:val="0"/>
                <w:smallCaps w:val="0"/>
                <w:color w:val="000000"/>
                <w:lang w:val="el" w:eastAsia="el"/>
              </w:rPr>
            </w:pPr>
            <w:r>
              <w:rPr>
                <w:b/>
                <w:bCs/>
                <w:i w:val="0"/>
                <w:iCs w:val="0"/>
                <w:smallCaps w:val="0"/>
                <w:color w:val="000000"/>
                <w:lang w:val="el" w:eastAsia="el"/>
              </w:rPr>
              <w:t>: 210-4822209</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ΘΕΜΑ: Παράταση της προθεσμίας υποβολής των δηλώσεων και καταβολής φόρου πλοίων δεύτερης κατηγορίας του ν. 27/1975.</w:t>
      </w:r>
    </w:p>
    <w:p>
      <w:pPr>
        <w:spacing w:before="240" w:after="240"/>
        <w:rPr>
          <w:lang w:val="el" w:eastAsia="el"/>
        </w:rPr>
      </w:pPr>
      <w:r>
        <w:rPr>
          <w:b/>
          <w:bCs/>
          <w:lang w:val="el" w:eastAsia="el"/>
        </w:rPr>
        <w:t>ΚΟΙΝΗ ΑΠΟΦΑΣΗΤΟΥ ΥΦΥΠΟΥΡΓΟΥ ΕΘΝΙΚΗΣ ΟΙΚΟΝΟΜΙΑΣ ΚΑΙ ΟΙΚΟΝΟΜΙΚΩΝΚΑΙ ΤΟΥ ΔΙΟΙΚΗΤΗ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(Α’34),</w:t>
      </w:r>
    </w:p>
    <w:p>
      <w:pPr>
        <w:spacing w:before="240" w:after="240"/>
        <w:rPr>
          <w:lang w:val="el" w:eastAsia="el"/>
        </w:rPr>
      </w:pPr>
      <w:r>
        <w:rPr>
          <w:b/>
          <w:bCs/>
          <w:lang w:val="el" w:eastAsia="el"/>
        </w:rPr>
        <w:t>β. του άρθρου 8 του ν. 1284/1982 (Α’ 114),</w:t>
      </w:r>
    </w:p>
    <w:p>
      <w:pPr>
        <w:spacing w:before="240" w:after="240"/>
        <w:rPr>
          <w:lang w:val="el" w:eastAsia="el"/>
        </w:rPr>
      </w:pPr>
      <w:r>
        <w:rPr>
          <w:b/>
          <w:bCs/>
          <w:lang w:val="el" w:eastAsia="el"/>
        </w:rPr>
        <w:t>γ. του ν. 27/1975 «Περί φορολογίας πλοίων, επιβολής εισφοράς προς ανάπτυξιν της Εμπορικής Ναυτιλίας, εγκαταστάσεως αλλοδαπών ναυτιλιακών επιχειρήσεων και ρυθμίσεως συναφών θεμάτων» (Α΄77) και ειδικότερα του άρθρου 17 του ν. 27/1975 ,</w:t>
      </w:r>
    </w:p>
    <w:p>
      <w:pPr>
        <w:spacing w:before="240" w:after="240"/>
        <w:rPr>
          <w:lang w:val="el" w:eastAsia="el"/>
        </w:rPr>
      </w:pPr>
      <w:r>
        <w:rPr>
          <w:b/>
          <w:bCs/>
          <w:lang w:val="el" w:eastAsia="el"/>
        </w:rPr>
        <w:t>δ. του ν. 5104/2024 «Κώδικα Φορολογικής Διαδικασίας και άλλες διατάξεις» (Α΄58),</w:t>
      </w:r>
    </w:p>
    <w:p>
      <w:pPr>
        <w:spacing w:before="240" w:after="240"/>
        <w:rPr>
          <w:lang w:val="el" w:eastAsia="el"/>
        </w:rPr>
      </w:pPr>
      <w:r>
        <w:rPr>
          <w:b/>
          <w:bCs/>
          <w:lang w:val="el" w:eastAsia="el"/>
        </w:rPr>
        <w:t>ε.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στ. της υπό στοιχεία Α. 1097/2024 απόφασης του Διοικητή Α.Α.Δ.Ε. «Παράταση της προθεσμίας υποβολής των δηλώσεων φόρου πλοίων δεύτερης κατηγορίας του ν. 27/1975 (Α 77)» (Β’ 3490). 2. Το π.δ. 142/2017 «Οργανισμός Υπουργείου Οικονομικών» (Α΄181).</w:t>
      </w:r>
    </w:p>
    <w:p>
      <w:pPr>
        <w:spacing w:before="240" w:after="240"/>
        <w:rPr>
          <w:lang w:val="el" w:eastAsia="el"/>
        </w:rPr>
      </w:pPr>
      <w:r>
        <w:rPr>
          <w:lang w:val="el" w:eastAsia="el"/>
        </w:rPr>
        <w:t xml:space="preserve">3. </w:t>
      </w:r>
      <w:r>
        <w:rPr>
          <w:b/>
          <w:bCs/>
          <w:lang w:val="el" w:eastAsia="el"/>
        </w:rPr>
        <w:t>Το π.δ. 77/2023 «Σύσταση Υπουργείου και μετονομασία Υπουργείων – Σύσταση, κατάργηση και μετονομασία Γενικών και Ειδικών Γραμματέων- Μεταφορά αρμοδιοτήτων, υπηρεσιακών μονάδων, θέσεων προσωπικού και εποπτευόμενων φορέων»(Α΄130).</w:t>
      </w:r>
    </w:p>
    <w:p>
      <w:pPr>
        <w:spacing w:before="240" w:after="240"/>
        <w:rPr>
          <w:lang w:val="el" w:eastAsia="el"/>
        </w:rPr>
      </w:pPr>
      <w:r>
        <w:rPr>
          <w:lang w:val="el" w:eastAsia="el"/>
        </w:rPr>
        <w:t xml:space="preserve">4. </w:t>
      </w:r>
      <w:r>
        <w:rPr>
          <w:b/>
          <w:bCs/>
          <w:lang w:val="el" w:eastAsia="el"/>
        </w:rPr>
        <w:t>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(Α’130) – Μεταβατικές διατάξεις» (Α΄139).</w:t>
      </w:r>
    </w:p>
    <w:p>
      <w:pPr>
        <w:spacing w:before="240" w:after="240"/>
        <w:rPr>
          <w:lang w:val="el" w:eastAsia="el"/>
        </w:rPr>
      </w:pPr>
      <w:r>
        <w:rPr>
          <w:lang w:val="el" w:eastAsia="el"/>
        </w:rPr>
        <w:t xml:space="preserve">5. </w:t>
      </w:r>
      <w:r>
        <w:rPr>
          <w:b/>
          <w:bCs/>
          <w:lang w:val="el" w:eastAsia="el"/>
        </w:rPr>
        <w:t>Το π.δ. 32/2024 «Διορισμός Υπουργών και Υφυπουργών» (Α΄91).</w:t>
      </w:r>
    </w:p>
    <w:p>
      <w:pPr>
        <w:spacing w:before="240" w:after="240"/>
        <w:rPr>
          <w:lang w:val="el" w:eastAsia="el"/>
        </w:rPr>
      </w:pPr>
      <w:r>
        <w:rPr>
          <w:lang w:val="el" w:eastAsia="el"/>
        </w:rPr>
        <w:t xml:space="preserve">6. </w:t>
      </w:r>
      <w:r>
        <w:rPr>
          <w:b/>
          <w:bCs/>
          <w:lang w:val="el" w:eastAsia="el"/>
        </w:rPr>
        <w:t>Την υπό στοιχεία 84913 ΕΞ 2023/17.6.2024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(Β΄3472).</w:t>
      </w:r>
    </w:p>
    <w:p>
      <w:pPr>
        <w:spacing w:before="240" w:after="240"/>
        <w:rPr>
          <w:lang w:val="el" w:eastAsia="el"/>
        </w:rPr>
      </w:pPr>
      <w:r>
        <w:rPr>
          <w:lang w:val="el" w:eastAsia="el"/>
        </w:rPr>
        <w:t xml:space="preserve">7. </w:t>
      </w:r>
      <w:r>
        <w:rPr>
          <w:b/>
          <w:bCs/>
          <w:lang w:val="el" w:eastAsia="el"/>
        </w:rPr>
        <w:t>Την παρ. 1 του άρθρου 1 «Σύσταση Γενικής Γραμματείας Φορολογικής Πολιτικής και Δημόσιας Περιουσίας στο Υπουργείο Οικονομικών» του π.δ. 84/2019 «Σύσταση και κατάργηση Γενικών Γραμματειών /Ενιαίων Διοικητικών Τομέων Υπουργείων» (Α΄123).</w:t>
      </w:r>
    </w:p>
    <w:p>
      <w:pPr>
        <w:spacing w:before="240" w:after="240"/>
        <w:rPr>
          <w:lang w:val="el" w:eastAsia="el"/>
        </w:rPr>
      </w:pPr>
      <w:r>
        <w:rPr>
          <w:lang w:val="el" w:eastAsia="el"/>
        </w:rPr>
        <w:t xml:space="preserve">8. </w:t>
      </w:r>
      <w:r>
        <w:rPr>
          <w:b/>
          <w:bCs/>
          <w:lang w:val="el" w:eastAsia="el"/>
        </w:rPr>
        <w:t xml:space="preserve">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της παρ. 10 του άρθρου 41 του ν. 4389/2016,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υπό στοιχεία 5294 ΕΞ 17.1.2020 </w:t>
      </w:r>
    </w:p>
    <w:p>
      <w:pPr>
        <w:spacing w:before="240" w:after="240"/>
        <w:rPr>
          <w:lang w:val="el" w:eastAsia="el"/>
        </w:rPr>
      </w:pPr>
      <w:r>
        <w:rPr>
          <w:b/>
          <w:bCs/>
          <w:lang w:val="el" w:eastAsia="el"/>
        </w:rPr>
        <w:t>(Υ.Ο.Δ.Δ.27) απόφαση τουΥπουργού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 xml:space="preserve">9.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10. </w:t>
      </w:r>
      <w:r>
        <w:rPr>
          <w:b/>
          <w:bCs/>
          <w:lang w:val="el" w:eastAsia="el"/>
        </w:rPr>
        <w:t>Την υπό στοιχεία Δ6Α 1015213 ΕΞ 2013/28.1.2013 κοινή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Β' 372), σε συνδυασμό με τις διατάξεις της περ. α' της παρ. 3 του άρθρου 41 του ν. 4389/2016.</w:t>
      </w:r>
    </w:p>
    <w:p>
      <w:pPr>
        <w:spacing w:before="240" w:after="240"/>
        <w:rPr>
          <w:lang w:val="el" w:eastAsia="el"/>
        </w:rPr>
      </w:pPr>
      <w:r>
        <w:rPr>
          <w:lang w:val="el" w:eastAsia="el"/>
        </w:rPr>
        <w:t xml:space="preserve">11. </w:t>
      </w:r>
      <w:r>
        <w:rPr>
          <w:b/>
          <w:bCs/>
          <w:lang w:val="el" w:eastAsia="el"/>
        </w:rPr>
        <w:t>Την ανάγκη διευκόλυνσης των υπόχρεων σε υποβολή των δηλώσεων φόρου πλοίων δεύτερης κατηγορίας του ν. 27/1975 (Α 77) για το φορολογικό έτος 2023 και την ομαλή ολοκλήρωση της διαδικασίας υποβολής αυτών, καθώς για το φορολογικό έτος 2023 για πρώτη φορά υφίσταται υποχρέωση υποβολής δήλωσης από τους υπόχρεους μέσω της ψηφιακής εφαρμογής της ΑΑΔΕ που τέθηκε σε λειτουργία την 18</w:t>
      </w:r>
      <w:r>
        <w:rPr>
          <w:b/>
          <w:bCs/>
          <w:sz w:val="30"/>
          <w:szCs w:val="30"/>
          <w:vertAlign w:val="superscript"/>
          <w:lang w:val="el" w:eastAsia="el"/>
        </w:rPr>
        <w:t>η</w:t>
      </w:r>
      <w:r>
        <w:rPr>
          <w:b/>
          <w:bCs/>
          <w:lang w:val="el" w:eastAsia="el"/>
        </w:rPr>
        <w:t xml:space="preserve"> Ιουνίου 2024.</w:t>
      </w:r>
    </w:p>
    <w:p>
      <w:pPr>
        <w:spacing w:before="240" w:after="240"/>
        <w:rPr>
          <w:lang w:val="el" w:eastAsia="el"/>
        </w:rPr>
      </w:pPr>
      <w:r>
        <w:rPr>
          <w:lang w:val="el" w:eastAsia="el"/>
        </w:rPr>
        <w:t xml:space="preserve">12. </w:t>
      </w:r>
      <w:r>
        <w:rPr>
          <w:b/>
          <w:bCs/>
          <w:lang w:val="el" w:eastAsia="el"/>
        </w:rPr>
        <w:t>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προθεσμία υποβολής των δηλώσεων φόρου πλοίων δεύτερης κατηγορίας του ν. 27/1975 (Α’ 77) για τις δηλώσεις που δεν έχουν υποβληθεί μέχρι την έκδοση της παρούσας, ειδικά για το φορολογικό έτος 2023, παρατείνεται μέχρι τις 26 Σεπτεμβρίου 2024 και οι δύο δόσεις του φόρου αυτού καταβάλλονται μέχρι τις 30 Σεπτεμβρίου 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2)</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Διεύθυνση ΣΔΟΕ Αττικής - Επιχειρησιακή Διεύθυνση ΣΔΟΕ Μακεδονίας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(ΔΙ.Σ.ΤΕ.ΠΛ.)</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 Γραμ.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 1 και 2 αυτού), Ζ΄, Η΄ (πλην 4,10 και 11) Θ΄, Ι΄, ΙΒ΄( τα 5 και 7), ΙΣΤ΄(το 2) και ΚΓ΄</w:t>
      </w:r>
    </w:p>
    <w:p>
      <w:pPr>
        <w:spacing w:before="240" w:after="240"/>
        <w:rPr>
          <w:lang w:val="el" w:eastAsia="el"/>
        </w:rPr>
      </w:pPr>
      <w:r>
        <w:rPr>
          <w:lang w:val="el" w:eastAsia="el"/>
        </w:rPr>
        <w:t xml:space="preserve">5. </w:t>
      </w:r>
      <w:r>
        <w:rPr>
          <w:b/>
          <w:bCs/>
          <w:lang w:val="el" w:eastAsia="el"/>
        </w:rPr>
        <w:t>ΔΤΔ-Εγκεκριμένοι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lang w:val="el" w:eastAsia="el"/>
        </w:rPr>
        <w:t xml:space="preserve">7. </w:t>
      </w:r>
      <w:r>
        <w:rPr>
          <w:b/>
          <w:bCs/>
          <w:lang w:val="el" w:eastAsia="el"/>
        </w:rPr>
        <w:t>ΠΕΡΙΟΔΙΚΟ «ΦΟΡΟΛΟΓΙΚΗ ΕΠΙΘΕΩΡΗΣΗ»</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 Α.Α.Δ.Ε.</w:t>
      </w:r>
    </w:p>
    <w:p>
      <w:pPr>
        <w:spacing w:before="240" w:after="240"/>
        <w:rPr>
          <w:lang w:val="el" w:eastAsia="el"/>
        </w:rPr>
      </w:pPr>
      <w:r>
        <w:rPr>
          <w:lang w:val="el" w:eastAsia="el"/>
        </w:rPr>
        <w:t xml:space="preserve">3. </w:t>
      </w:r>
      <w:r>
        <w:rPr>
          <w:b/>
          <w:bCs/>
          <w:lang w:val="el" w:eastAsia="el"/>
        </w:rPr>
        <w:t>Γραφεία κ. κ. Γενικών Δ/ντών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Εφαρμογής Άμεσης Φορολογίας</w:t>
      </w:r>
    </w:p>
    <w:p>
      <w:pPr>
        <w:spacing w:before="240" w:after="240"/>
        <w:rPr>
          <w:lang w:val="el" w:eastAsia="el"/>
        </w:rPr>
      </w:pPr>
      <w:r>
        <w:rPr>
          <w:lang w:val="el" w:eastAsia="el"/>
        </w:rPr>
        <w:t xml:space="preserve">7. </w:t>
      </w:r>
      <w:r>
        <w:rPr>
          <w:b/>
          <w:bCs/>
          <w:lang w:val="el" w:eastAsia="el"/>
        </w:rPr>
        <w:t>Διεύθυνση Εφαρμογής Άμεσης Φορολογίας – Τμήματα Γ΄, Β΄και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