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w:t>
      </w:r>
    </w:p>
    <w:p>
      <w:pPr>
        <w:pStyle w:val="Title"/>
        <w:spacing w:before="120" w:after="360"/>
        <w:rPr>
          <w:lang w:val="el" w:eastAsia="el"/>
        </w:rPr>
      </w:pPr>
      <w:r>
        <w:rPr>
          <w:b/>
          <w:bCs/>
          <w:lang w:val="el" w:eastAsia="el"/>
        </w:rPr>
        <w:t>&amp; ΟΙΚΟΝΟΜΙΚΩΝ Α. ΓΡΑΦΕΙΟ ΥΦΥΠΟΥΡΓΟΥ ΕΘΝΙΚΗΣ ΟΙΚΟΝΟΜΙΑΣ &amp; ΟΙΚΟΝΟΜΙΚΩΝ αρμοδιότητας Φορολογικής Πολιτικής</w:t>
      </w:r>
    </w:p>
    <w:p>
      <w:pPr>
        <w:pStyle w:val="Title"/>
        <w:spacing w:before="120" w:after="360"/>
        <w:rPr>
          <w:lang w:val="el" w:eastAsia="el"/>
        </w:rPr>
      </w:pPr>
      <w:r>
        <w:rPr>
          <w:b/>
          <w:bCs/>
          <w:lang w:val="el" w:eastAsia="el"/>
        </w:rPr>
        <w:t>Β. ΓΡΑΦΕΙΟ ΥΦΥΠΟΥΡΓΟΥ ΕΘΝΙΚΗΣ ΟΙΚΟΝΟΜΙΑΣ &amp; ΟΙΚΟΝΟΜΙΚΩΝ αρμοδιότητας Δημοσιονομικής Πολιτικής</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 ΤΜΗΜΑ A΄</w:t>
      </w:r>
    </w:p>
    <w:p>
      <w:pPr>
        <w:pStyle w:val="PreambelText"/>
        <w:spacing w:before="240" w:after="240"/>
        <w:rPr>
          <w:lang w:val="el" w:eastAsia="el"/>
        </w:rPr>
      </w:pPr>
      <w:r>
        <w:rPr>
          <w:b/>
          <w:bCs/>
          <w:lang w:val="el" w:eastAsia="el"/>
        </w:rPr>
        <w:t>Β) ΓΕΝΙΚΗ ΔΙΕΥΘΥΝΣΗ ΟΙΚΟΝΟΜΙΚΩΝ ΥΠΗΡΕΣΙΩΝ ΔΙΕΥΘΥΝΣΗ ΠΡΟΫΠΟΛΟΓΙΣΜΟΥ ΚΑΙ ΔΗΜΟΣΙΟΝΟΜΙΚΩΝ ΑΝΑΦΟΡΩΝ</w:t>
      </w:r>
    </w:p>
    <w:p>
      <w:pPr>
        <w:pStyle w:val="PreambelText"/>
        <w:spacing w:before="240" w:after="240"/>
        <w:rPr>
          <w:lang w:val="el" w:eastAsia="el"/>
        </w:rPr>
      </w:pPr>
      <w:r>
        <w:rPr>
          <w:b/>
          <w:bCs/>
          <w:lang w:val="el" w:eastAsia="el"/>
        </w:rPr>
        <w:t>Γ)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Μητρώου και Εικόνας Φορολογουμένων</w:t>
      </w:r>
    </w:p>
    <w:p>
      <w:pPr>
        <w:spacing w:before="240" w:after="240"/>
        <w:rPr>
          <w:lang w:val="el" w:eastAsia="el"/>
        </w:rPr>
      </w:pPr>
      <w:r>
        <w:rPr>
          <w:b/>
          <w:bCs/>
          <w:lang w:val="el" w:eastAsia="el"/>
        </w:rPr>
        <w:t>Δ) ΔΙΕΥΘΥΝΣΗ ΕΠΙΚΟΙΝΩΝΙΑΣ</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 Επικοινωνιακής Στρατηγικής</w:t>
      </w:r>
    </w:p>
    <w:p>
      <w:pPr>
        <w:spacing w:before="240" w:after="240"/>
        <w:rPr>
          <w:lang w:val="el" w:eastAsia="el"/>
        </w:rPr>
      </w:pPr>
      <w:r>
        <w:rPr>
          <w:b/>
          <w:bCs/>
          <w:lang w:val="el" w:eastAsia="el"/>
        </w:rPr>
        <w:t>Θέμα: «Καθορισμός του μορφότυπου της αναγραφής της παρ. 1 του άρθρου 66 του ν. 4446/2016 (Α΄240) για τις επιχειρήσεις ταξί των σημείων εντός του οχήματος στα οποία τίθεται η αναγραφή αυτή, του τρόπου παραγωγής και διάθεσής της, του τρόπου κάλυψης της δαπάνης καθώς και κάθε άλλου θέματος σχετικά με την εφαρμογή του παρόντος.»</w:t>
      </w:r>
    </w:p>
    <w:p>
      <w:pPr>
        <w:spacing w:before="240" w:after="240"/>
        <w:rPr>
          <w:lang w:val="el" w:eastAsia="el"/>
        </w:rPr>
      </w:pPr>
      <w:r>
        <w:rPr>
          <w:b/>
          <w:bCs/>
          <w:lang w:val="el" w:eastAsia="el"/>
        </w:rPr>
        <w:t>ΚΟΙΝΗ ΑΠΟΦΑΣΗΟI ΥΦΥΠΟΥΡΓΟI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1 και 9 α΄ του άρθρου 66 του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(A΄ 240), όπως η τελευταία προστέθηκε με το άρθρο 16 του ν. 5122/2024 «Ενσωμάτωση του άρθρου 1 της Οδηγίας (ΕΕ) 2019/1151 κατά το μέρος που αφορά τους αποκλεισμένους διευθυντές και άλλες επείγουσες διατάξεις» (Α΄108),</w:t>
      </w:r>
    </w:p>
    <w:p>
      <w:pPr>
        <w:pStyle w:val="StructureList1"/>
        <w:spacing w:before="120" w:after="0"/>
        <w:rPr>
          <w:lang w:val="el" w:eastAsia="el"/>
        </w:rPr>
      </w:pPr>
      <w:r>
        <w:rPr>
          <w:lang w:val="el" w:eastAsia="el"/>
        </w:rPr>
        <w:t>β)</w:t>
      </w:r>
      <w:r>
        <w:rPr>
          <w:lang w:val="en" w:eastAsia="en"/>
        </w:rPr>
        <w:tab/>
      </w:r>
      <w:r>
        <w:rPr>
          <w:b/>
          <w:bCs/>
          <w:lang w:val="el" w:eastAsia="el"/>
        </w:rPr>
        <w:t>της παραγράφου 3 του άρθρου 77 και της περ. ιβ’ του άρθρου 20 του ν.4270/2014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της παρ. 5 του άρθρου 19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4.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5. </w:t>
      </w:r>
      <w:r>
        <w:rPr>
          <w:b/>
          <w:bCs/>
          <w:lang w:val="el" w:eastAsia="el"/>
        </w:rPr>
        <w:t>α)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6 </w:t>
      </w:r>
      <w:r>
        <w:rPr>
          <w:b/>
          <w:bCs/>
          <w:lang w:val="el" w:eastAsia="el"/>
        </w:rPr>
        <w:t>.Το π.δ. 79/2023 «Διορισμός Υπουργών, Αναπληρωτών Υπουργών και Υφυπουργών» (Α΄131). 7. Το π.δ. 32/2024 «Διορισμός Υπουργών και Υφυπουργών» (Α’91).</w:t>
      </w:r>
    </w:p>
    <w:p>
      <w:pPr>
        <w:spacing w:before="240" w:after="240"/>
        <w:rPr>
          <w:lang w:val="el" w:eastAsia="el"/>
        </w:rPr>
      </w:pPr>
      <w:r>
        <w:rPr>
          <w:lang w:val="el" w:eastAsia="el"/>
        </w:rPr>
        <w:t xml:space="preserve">8. </w:t>
      </w:r>
      <w:r>
        <w:rPr>
          <w:b/>
          <w:bCs/>
          <w:lang w:val="el" w:eastAsia="el"/>
        </w:rPr>
        <w:t>α) Την υπ’ αρ.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StructureList1"/>
        <w:spacing w:before="120" w:after="0"/>
        <w:rPr>
          <w:lang w:val="el" w:eastAsia="el"/>
        </w:rPr>
      </w:pPr>
      <w:r>
        <w:rPr>
          <w:lang w:val="el" w:eastAsia="el"/>
        </w:rPr>
        <w:t>β)</w:t>
      </w:r>
      <w:r>
        <w:rPr>
          <w:lang w:val="en" w:eastAsia="en"/>
        </w:rPr>
        <w:tab/>
      </w:r>
      <w:r>
        <w:rPr>
          <w:b/>
          <w:bCs/>
          <w:lang w:val="el" w:eastAsia="el"/>
        </w:rPr>
        <w:t>Την υπ’ αρ.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9.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10. </w:t>
      </w:r>
      <w:r>
        <w:rPr>
          <w:b/>
          <w:bCs/>
          <w:lang w:val="el" w:eastAsia="el"/>
        </w:rPr>
        <w:t>Την ανάγκη καθορισμού του μορφότυπου της αναγραφής της παρ. 1 του άρθρου 66 του ν. 4446/2016 (Α΄240) για τις επιχειρήσεις ταξί και λοιπών σχετικών θεμάτων προκειμένου για τη διασφάλιση της έκδοσης των παραστατικών σε συναλλαγές που αφορούν τις επιχειρήσεις ταξί και διενεργούνται με τη χρήση Μέσων Πληρωμών και την περιστολή της φοροδιαφυγής.</w:t>
      </w:r>
    </w:p>
    <w:p>
      <w:pPr>
        <w:spacing w:before="240" w:after="240"/>
        <w:rPr>
          <w:lang w:val="el" w:eastAsia="el"/>
        </w:rPr>
      </w:pPr>
      <w:r>
        <w:rPr>
          <w:lang w:val="el" w:eastAsia="el"/>
        </w:rPr>
        <w:t xml:space="preserve">11. </w:t>
      </w:r>
      <w:r>
        <w:rPr>
          <w:b/>
          <w:bCs/>
          <w:lang w:val="el" w:eastAsia="el"/>
        </w:rPr>
        <w:t>Την από 01/08/2024 εισήγηση του Διοικητή της Ανεξάρτητης Αρχής Δημοσίων Εσόδων (ΑΑΔΕ).</w:t>
      </w:r>
    </w:p>
    <w:p>
      <w:pPr>
        <w:spacing w:before="240" w:after="240"/>
        <w:rPr>
          <w:lang w:val="el" w:eastAsia="el"/>
        </w:rPr>
      </w:pPr>
      <w:r>
        <w:rPr>
          <w:lang w:val="el" w:eastAsia="el"/>
        </w:rPr>
        <w:t xml:space="preserve">12. </w:t>
      </w:r>
      <w:r>
        <w:rPr>
          <w:b/>
          <w:bCs/>
          <w:lang w:val="el" w:eastAsia="el"/>
        </w:rPr>
        <w:t>Το γεγονός ότι, από τις διατάξεις της παρούσας απόφασης, προκαλείται επιπλέον δαπάνη η οποία δεν δύναται να προσδιοριστεί επί του παρόντος, καθώς εξαρτάται από πραγματικά γεγονότα. Η εν λόγω δαπάνη δύναται να καλυφθεί εντός των ορίων του Τακτικού Προϋπολογισμού της ΑΑΔΕ έτους 2024 (Ειδ. Φορέας 1024 801 000 0000, ΑΛΕ 2410989899 «Αγορές λοιπών αγαθών»).</w:t>
      </w:r>
    </w:p>
    <w:p>
      <w:pPr>
        <w:spacing w:before="240" w:after="240"/>
        <w:rPr>
          <w:lang w:val="el" w:eastAsia="el"/>
        </w:rPr>
      </w:pPr>
      <w:r>
        <w:rPr>
          <w:b/>
          <w:bCs/>
          <w:lang w:val="el" w:eastAsia="el"/>
        </w:rPr>
        <w:t>Α Π Ο Φ Α Σ Ι Ζ Ο Υ Μ Ε</w:t>
      </w:r>
    </w:p>
    <w:p>
      <w:pPr>
        <w:pStyle w:val="MainText"/>
        <w:spacing w:before="120" w:after="0"/>
        <w:rPr>
          <w:lang w:val="el" w:eastAsia="el"/>
        </w:rPr>
      </w:pPr>
      <w:r>
        <w:rPr>
          <w:b/>
          <w:bCs/>
          <w:lang w:val="el" w:eastAsia="el"/>
        </w:rPr>
        <w:t>Άρθρο 1</w:t>
      </w:r>
      <w:r>
        <w:rPr>
          <w:lang w:val="el" w:eastAsia="el"/>
        </w:rPr>
        <w:t xml:space="preserve"> </w:t>
      </w:r>
      <w:r>
        <w:rPr>
          <w:b/>
          <w:bCs/>
          <w:lang w:val="el" w:eastAsia="el"/>
        </w:rPr>
        <w:t>Σκοπός - υπόχρεοι</w:t>
      </w:r>
    </w:p>
    <w:p>
      <w:pPr>
        <w:spacing w:before="240" w:after="240"/>
        <w:rPr>
          <w:lang w:val="el" w:eastAsia="el"/>
        </w:rPr>
      </w:pPr>
      <w:r>
        <w:rPr>
          <w:b/>
          <w:bCs/>
          <w:lang w:val="el" w:eastAsia="el"/>
        </w:rPr>
        <w:t>Με την παρούσα θεσπίζεται η υποχρέωση των δικαιούχων πληρωμής της περ. γ' του άρθρου 62 του ν. 4446/2016 (Α' 240) που ασκούν επιχειρηματική δραστηριότητα και εφόσον λειτουργούν με τους παρακάτω Κωδικούς Αριθμούς Δραστηριότητας :</w:t>
      </w:r>
    </w:p>
    <w:p>
      <w:pPr>
        <w:pStyle w:val="StructureList1"/>
        <w:spacing w:before="120" w:after="0"/>
        <w:rPr>
          <w:lang w:val="el" w:eastAsia="el"/>
        </w:rPr>
      </w:pPr>
      <w:r>
        <w:rPr>
          <w:lang w:val="el" w:eastAsia="el"/>
        </w:rPr>
        <w:t>-</w:t>
      </w:r>
      <w:r>
        <w:rPr>
          <w:lang w:val="en" w:eastAsia="en"/>
        </w:rPr>
        <w:tab/>
      </w:r>
      <w:r>
        <w:rPr>
          <w:b/>
          <w:bCs/>
          <w:lang w:val="el" w:eastAsia="el"/>
        </w:rPr>
        <w:t>Υπηρεσίες λειτουργίας ταξί</w:t>
      </w:r>
    </w:p>
    <w:p>
      <w:pPr>
        <w:pStyle w:val="StructureList1"/>
        <w:spacing w:before="120" w:after="0"/>
        <w:rPr>
          <w:lang w:val="el" w:eastAsia="el"/>
        </w:rPr>
      </w:pPr>
      <w:r>
        <w:rPr>
          <w:lang w:val="el" w:eastAsia="el"/>
        </w:rPr>
        <w:t>-</w:t>
      </w:r>
      <w:r>
        <w:rPr>
          <w:lang w:val="en" w:eastAsia="en"/>
        </w:rPr>
        <w:tab/>
      </w:r>
      <w:r>
        <w:rPr>
          <w:b/>
          <w:bCs/>
          <w:lang w:val="el" w:eastAsia="el"/>
        </w:rPr>
        <w:t>32.11.01 Υπηρεσίες ταξί ή αγοραίων, με οδηγό ιδιοκτήτη</w:t>
      </w:r>
    </w:p>
    <w:p>
      <w:pPr>
        <w:pStyle w:val="StructureList1"/>
        <w:spacing w:before="120" w:after="0"/>
        <w:rPr>
          <w:lang w:val="el" w:eastAsia="el"/>
        </w:rPr>
      </w:pPr>
      <w:r>
        <w:rPr>
          <w:lang w:val="el" w:eastAsia="el"/>
        </w:rPr>
        <w:t>-</w:t>
      </w:r>
      <w:r>
        <w:rPr>
          <w:lang w:val="en" w:eastAsia="en"/>
        </w:rPr>
        <w:tab/>
      </w:r>
      <w:r>
        <w:rPr>
          <w:b/>
          <w:bCs/>
          <w:lang w:val="el" w:eastAsia="el"/>
        </w:rPr>
        <w:t>32.11.02 Υπηρεσίες ταξί ή αγοραίων, με οδηγό μη ιδιοκτήτη</w:t>
      </w:r>
    </w:p>
    <w:p>
      <w:pPr>
        <w:spacing w:before="240" w:after="240"/>
        <w:rPr>
          <w:lang w:val="el" w:eastAsia="el"/>
        </w:rPr>
      </w:pPr>
      <w:r>
        <w:rPr>
          <w:b/>
          <w:bCs/>
          <w:lang w:val="el" w:eastAsia="el"/>
        </w:rPr>
        <w:t>και οι οποίοι αποδέχονται μέσα πληρωμής με κάρτες πληρωμών, να ενημερώνουν τους καταναλωτές σχετικά με την αποδοχή καρτών με σαφή τρόπο που δεν επιδέχεται παρερμηνείας.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αναγραφών</w:t>
      </w:r>
    </w:p>
    <w:p>
      <w:pPr>
        <w:pStyle w:val="MainText"/>
        <w:spacing w:before="120" w:after="0"/>
        <w:rPr>
          <w:lang w:val="el" w:eastAsia="el"/>
        </w:rPr>
      </w:pPr>
      <w:r>
        <w:rPr>
          <w:b/>
          <w:bCs/>
          <w:lang w:val="el" w:eastAsia="el"/>
        </w:rPr>
        <w:t>1.</w:t>
      </w:r>
      <w:r>
        <w:rPr>
          <w:lang w:val="el" w:eastAsia="el"/>
        </w:rPr>
        <w:t xml:space="preserve"> </w:t>
      </w:r>
      <w:r>
        <w:rPr>
          <w:b/>
          <w:bCs/>
          <w:lang w:val="el" w:eastAsia="el"/>
        </w:rPr>
        <w:t>Ο καταναλωτής που λαμβάνει υπηρεσίες από τις οντότητες του άρθρου 1 ενημερώνεται σχετικά με την αποδοχή μέσων πληρωμής με κάρτες πληρωμών μέσω αυτοκόλλητης ταμπέλας, που επικολλάται ως εμφαίνεται στο Παράρτημα Α΄που αποτελεί αναπόσπαστο τμήμα της παρούσας. Η ταμπέλα έχει διαστάσεις 25 cm x 12 cm και επί αυτής αναγράφονται στην ελληνική και στην αγγλική γλώσσα οι φράσεις :</w:t>
      </w:r>
    </w:p>
    <w:p>
      <w:pPr>
        <w:spacing w:before="240" w:after="240"/>
        <w:rPr>
          <w:lang w:val="el" w:eastAsia="el"/>
        </w:rPr>
      </w:pPr>
      <w:r>
        <w:rPr>
          <w:b/>
          <w:bCs/>
          <w:lang w:val="el" w:eastAsia="el"/>
        </w:rPr>
        <w:t>α. Ο οδηγός υποχρεούται:</w:t>
      </w:r>
    </w:p>
    <w:p>
      <w:pPr>
        <w:spacing w:before="240" w:after="240"/>
        <w:rPr>
          <w:lang w:val="el" w:eastAsia="el"/>
        </w:rPr>
      </w:pPr>
      <w:r>
        <w:rPr>
          <w:lang w:val="el" w:eastAsia="el"/>
        </w:rPr>
        <w:t xml:space="preserve">• </w:t>
      </w:r>
      <w:r>
        <w:rPr>
          <w:b/>
          <w:bCs/>
          <w:lang w:val="el" w:eastAsia="el"/>
        </w:rPr>
        <w:t>να εκδίδει απόδειξη στο τέλος της διαδρομής.</w:t>
      </w:r>
    </w:p>
    <w:p>
      <w:pPr>
        <w:spacing w:before="240" w:after="240"/>
        <w:rPr>
          <w:lang w:val="el" w:eastAsia="el"/>
        </w:rPr>
      </w:pPr>
      <w:r>
        <w:rPr>
          <w:lang w:val="el" w:eastAsia="el"/>
        </w:rPr>
        <w:t xml:space="preserve">• </w:t>
      </w:r>
      <w:r>
        <w:rPr>
          <w:b/>
          <w:bCs/>
          <w:lang w:val="el" w:eastAsia="el"/>
        </w:rPr>
        <w:t>να δέχεται πληρωμή με κάρτα.</w:t>
      </w:r>
    </w:p>
    <w:p>
      <w:pPr>
        <w:spacing w:before="240" w:after="240"/>
        <w:rPr>
          <w:lang w:val="el" w:eastAsia="el"/>
        </w:rPr>
      </w:pPr>
      <w:r>
        <w:rPr>
          <w:b/>
          <w:bCs/>
          <w:lang w:val="el" w:eastAsia="el"/>
        </w:rPr>
        <w:t>The driver is obliged:</w:t>
      </w:r>
    </w:p>
    <w:p>
      <w:pPr>
        <w:spacing w:before="240" w:after="240"/>
        <w:rPr>
          <w:lang w:val="el" w:eastAsia="el"/>
        </w:rPr>
      </w:pPr>
      <w:r>
        <w:rPr>
          <w:lang w:val="el" w:eastAsia="el"/>
        </w:rPr>
        <w:t xml:space="preserve">• </w:t>
      </w:r>
      <w:r>
        <w:rPr>
          <w:b/>
          <w:bCs/>
          <w:lang w:val="el" w:eastAsia="el"/>
        </w:rPr>
        <w:t>to issue a receipt at the end of the route.</w:t>
      </w:r>
    </w:p>
    <w:p>
      <w:pPr>
        <w:spacing w:before="240" w:after="240"/>
        <w:rPr>
          <w:lang w:val="el" w:eastAsia="el"/>
        </w:rPr>
      </w:pPr>
      <w:r>
        <w:rPr>
          <w:lang w:val="el" w:eastAsia="el"/>
        </w:rPr>
        <w:t xml:space="preserve">• </w:t>
      </w:r>
      <w:r>
        <w:rPr>
          <w:b/>
          <w:bCs/>
          <w:lang w:val="el" w:eastAsia="el"/>
        </w:rPr>
        <w:t>to accept payment by card.</w:t>
      </w:r>
    </w:p>
    <w:p>
      <w:pPr>
        <w:spacing w:before="240" w:after="240"/>
        <w:rPr>
          <w:lang w:val="el" w:eastAsia="el"/>
        </w:rPr>
      </w:pPr>
      <w:r>
        <w:rPr>
          <w:b/>
          <w:bCs/>
          <w:lang w:val="el" w:eastAsia="el"/>
        </w:rPr>
        <w:t>β. Ο πελάτης ΔΕΝ υποχρεούται:</w:t>
      </w:r>
    </w:p>
    <w:p>
      <w:pPr>
        <w:spacing w:before="240" w:after="240"/>
        <w:rPr>
          <w:lang w:val="el" w:eastAsia="el"/>
        </w:rPr>
      </w:pPr>
      <w:r>
        <w:rPr>
          <w:lang w:val="el" w:eastAsia="el"/>
        </w:rPr>
        <w:t xml:space="preserve">• </w:t>
      </w:r>
      <w:r>
        <w:rPr>
          <w:b/>
          <w:bCs/>
          <w:lang w:val="el" w:eastAsia="el"/>
        </w:rPr>
        <w:t>να πληρώσει με μετρητά.</w:t>
      </w:r>
    </w:p>
    <w:p>
      <w:pPr>
        <w:spacing w:before="240" w:after="240"/>
        <w:rPr>
          <w:lang w:val="el" w:eastAsia="el"/>
        </w:rPr>
      </w:pPr>
      <w:r>
        <w:rPr>
          <w:lang w:val="el" w:eastAsia="el"/>
        </w:rPr>
        <w:t xml:space="preserve">• </w:t>
      </w:r>
      <w:r>
        <w:rPr>
          <w:b/>
          <w:bCs/>
          <w:lang w:val="el" w:eastAsia="el"/>
        </w:rPr>
        <w:t>να πληρώσει, πριν λάβει τη νόμιμη απόδειξη.</w:t>
      </w:r>
    </w:p>
    <w:p>
      <w:pPr>
        <w:spacing w:before="240" w:after="240"/>
        <w:rPr>
          <w:lang w:val="el" w:eastAsia="el"/>
        </w:rPr>
      </w:pPr>
      <w:r>
        <w:rPr>
          <w:b/>
          <w:bCs/>
          <w:lang w:val="el" w:eastAsia="el"/>
        </w:rPr>
        <w:t>The customer is NOT obliged:</w:t>
      </w:r>
    </w:p>
    <w:p>
      <w:pPr>
        <w:spacing w:before="240" w:after="240"/>
        <w:rPr>
          <w:lang w:val="el" w:eastAsia="el"/>
        </w:rPr>
      </w:pPr>
      <w:r>
        <w:rPr>
          <w:lang w:val="el" w:eastAsia="el"/>
        </w:rPr>
        <w:t xml:space="preserve">• </w:t>
      </w:r>
      <w:r>
        <w:rPr>
          <w:b/>
          <w:bCs/>
          <w:lang w:val="el" w:eastAsia="el"/>
        </w:rPr>
        <w:t>to pay in cash.</w:t>
      </w:r>
    </w:p>
    <w:p>
      <w:pPr>
        <w:spacing w:before="240" w:after="240"/>
        <w:rPr>
          <w:lang w:val="el" w:eastAsia="el"/>
        </w:rPr>
      </w:pPr>
      <w:r>
        <w:rPr>
          <w:lang w:val="el" w:eastAsia="el"/>
        </w:rPr>
        <w:t xml:space="preserve">• </w:t>
      </w:r>
      <w:r>
        <w:rPr>
          <w:b/>
          <w:bCs/>
          <w:lang w:val="el" w:eastAsia="el"/>
        </w:rPr>
        <w:t>to pay, before receiving the legal receipt.</w:t>
      </w:r>
    </w:p>
    <w:p>
      <w:pPr>
        <w:pStyle w:val="MainText"/>
        <w:spacing w:before="120" w:after="0"/>
        <w:rPr>
          <w:lang w:val="el" w:eastAsia="el"/>
        </w:rPr>
      </w:pPr>
      <w:r>
        <w:rPr>
          <w:b/>
          <w:bCs/>
          <w:lang w:val="el" w:eastAsia="el"/>
        </w:rPr>
        <w:t>2.</w:t>
      </w:r>
      <w:r>
        <w:rPr>
          <w:lang w:val="el" w:eastAsia="el"/>
        </w:rPr>
        <w:t xml:space="preserve"> </w:t>
      </w:r>
      <w:r>
        <w:rPr>
          <w:b/>
          <w:bCs/>
          <w:lang w:val="el" w:eastAsia="el"/>
        </w:rPr>
        <w:t>O μορφότυπος της ταμπέλας προσδιορίζεται στο Παράρτημα Β΄, που αποτελεί αναπόσπαστο τμήμα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Παραγωγή και διάθεση των αναγραφών</w:t>
      </w:r>
    </w:p>
    <w:p>
      <w:pPr>
        <w:spacing w:before="240" w:after="240"/>
        <w:rPr>
          <w:lang w:val="el" w:eastAsia="el"/>
        </w:rPr>
      </w:pPr>
      <w:r>
        <w:rPr>
          <w:b/>
          <w:bCs/>
          <w:lang w:val="el" w:eastAsia="el"/>
        </w:rPr>
        <w:t>Η παραγωγή των ως άνω αναγραφών γίνεται από την ΑΑΔΕ, με δαπάνες που καλύπτονται από τον προϋπολογισμό της, η οποία μεριμνά για την διάθεση της αυτοκόλλητης ταμπέλας στιςυπόχρεες οντότητες μέσω της Πανελλήνιας Ομοσπονδίας Ταξί (ΠΟΕΙΑΤΑ) και των σωματείων που είναι μέλη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υπόχρεες οντότητες του άρθρου 1 οφείλουν να έχουν επικολλήσει την ταμπέλα στο όχημα ταξί που εκμεταλλεύονται μέχρι εντός τριών (3) εβδομάδων από την παραλαβή της από την Πανελλήνια Ομοσπονδία Ταξί (ΠΟΕΙΑΤΑ) και τα σωματεία που είναι μέλη αυτής.</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Ο μορφότυπος της αυτοκόλλητης ταμπέλας προσδιορίζεται ως εξής :</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ΧΡΙΣΤΟΣ ΔΗΜΑΣ ΑΘΑΝΑΣΙΟΣ ΠΕΤΡΑΛΙΑΣ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 αρμοδιότητας Φορολογικής Πολιτικής</w:t>
      </w:r>
    </w:p>
    <w:p>
      <w:pPr>
        <w:spacing w:before="240" w:after="240"/>
        <w:rPr>
          <w:lang w:val="el" w:eastAsia="el"/>
        </w:rPr>
      </w:pPr>
      <w:r>
        <w:rPr>
          <w:lang w:val="el" w:eastAsia="el"/>
        </w:rPr>
        <w:t xml:space="preserve">3. </w:t>
      </w:r>
      <w:r>
        <w:rPr>
          <w:b/>
          <w:bCs/>
          <w:lang w:val="el" w:eastAsia="el"/>
        </w:rPr>
        <w:t>Γραφείο κ. Υφυπουργού Εθνικής Οικονομίας &amp; Οικονομικών, αρμοδιότητας Δημοσιονομικής Πολιτικής</w:t>
      </w:r>
    </w:p>
    <w:p>
      <w:pPr>
        <w:spacing w:before="240" w:after="240"/>
        <w:rPr>
          <w:lang w:val="el" w:eastAsia="el"/>
        </w:rPr>
      </w:pPr>
      <w:r>
        <w:rPr>
          <w:lang w:val="el" w:eastAsia="el"/>
        </w:rPr>
        <w:t xml:space="preserve">4.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5. </w:t>
      </w:r>
      <w:r>
        <w:rPr>
          <w:b/>
          <w:bCs/>
          <w:lang w:val="el" w:eastAsia="el"/>
        </w:rPr>
        <w:t>Γραφείο κ. Γεν. Γραμματέως Δημοσιονομικής Πολιτικής</w:t>
      </w:r>
    </w:p>
    <w:p>
      <w:pPr>
        <w:spacing w:before="240" w:after="240"/>
        <w:rPr>
          <w:lang w:val="el" w:eastAsia="el"/>
        </w:rPr>
      </w:pPr>
      <w:r>
        <w:rPr>
          <w:lang w:val="el" w:eastAsia="el"/>
        </w:rPr>
        <w:t xml:space="preserve">6. </w:t>
      </w:r>
      <w:r>
        <w:rPr>
          <w:b/>
          <w:bCs/>
          <w:lang w:val="el" w:eastAsia="el"/>
        </w:rPr>
        <w:t>Προϊστάμενος της Γενικής Δ/νσης Σ.Δ.Ο.Ε.</w:t>
      </w:r>
    </w:p>
    <w:p>
      <w:pPr>
        <w:spacing w:before="240" w:after="240"/>
        <w:rPr>
          <w:lang w:val="el" w:eastAsia="el"/>
        </w:rPr>
      </w:pPr>
      <w:r>
        <w:rPr>
          <w:lang w:val="el" w:eastAsia="el"/>
        </w:rPr>
        <w:t xml:space="preserve">7. </w:t>
      </w:r>
      <w:r>
        <w:rPr>
          <w:b/>
          <w:bCs/>
          <w:lang w:val="el" w:eastAsia="el"/>
        </w:rPr>
        <w:t>Αποδέκτες πίνακα Ζ’, Η’</w:t>
      </w:r>
    </w:p>
    <w:p>
      <w:pPr>
        <w:spacing w:before="240" w:after="240"/>
        <w:rPr>
          <w:lang w:val="el" w:eastAsia="el"/>
        </w:rPr>
      </w:pPr>
      <w:r>
        <w:rPr>
          <w:lang w:val="el" w:eastAsia="el"/>
        </w:rPr>
        <w:t xml:space="preserve">8. </w:t>
      </w:r>
      <w:r>
        <w:rPr>
          <w:b/>
          <w:bCs/>
          <w:lang w:val="el" w:eastAsia="el"/>
        </w:rPr>
        <w:t>Αποδέκτες πίνακα ΙΑ’ εκτός από τα υποθηκοφυλακεία</w:t>
      </w:r>
    </w:p>
    <w:p>
      <w:pPr>
        <w:spacing w:before="240" w:after="240"/>
        <w:rPr>
          <w:lang w:val="el" w:eastAsia="el"/>
        </w:rPr>
      </w:pPr>
      <w:r>
        <w:rPr>
          <w:lang w:val="el" w:eastAsia="el"/>
        </w:rPr>
        <w:t xml:space="preserve">9. </w:t>
      </w:r>
      <w:r>
        <w:rPr>
          <w:b/>
          <w:bCs/>
          <w:lang w:val="el" w:eastAsia="el"/>
        </w:rPr>
        <w:t>Αποδέκτες πίνακα ΙΒ’</w:t>
      </w:r>
    </w:p>
    <w:p>
      <w:pPr>
        <w:spacing w:before="240" w:after="240"/>
        <w:rPr>
          <w:lang w:val="el" w:eastAsia="el"/>
        </w:rPr>
      </w:pPr>
      <w:r>
        <w:rPr>
          <w:lang w:val="el" w:eastAsia="el"/>
        </w:rPr>
        <w:t xml:space="preserve">10. </w:t>
      </w:r>
      <w:r>
        <w:rPr>
          <w:b/>
          <w:bCs/>
          <w:lang w:val="el" w:eastAsia="el"/>
        </w:rPr>
        <w:t>Αποδέκτες πίνακα ΙΓ’</w:t>
      </w:r>
    </w:p>
    <w:p>
      <w:pPr>
        <w:spacing w:before="240" w:after="240"/>
        <w:rPr>
          <w:lang w:val="el" w:eastAsia="el"/>
        </w:rPr>
      </w:pPr>
      <w:r>
        <w:rPr>
          <w:lang w:val="el" w:eastAsia="el"/>
        </w:rPr>
        <w:t xml:space="preserve">11. </w:t>
      </w:r>
      <w:r>
        <w:rPr>
          <w:b/>
          <w:bCs/>
          <w:lang w:val="el" w:eastAsia="el"/>
        </w:rPr>
        <w:t>Αποδέκτες πίνακα ΙΣΤ’</w:t>
      </w:r>
    </w:p>
    <w:p>
      <w:pPr>
        <w:spacing w:before="240" w:after="240"/>
        <w:rPr>
          <w:lang w:val="el" w:eastAsia="el"/>
        </w:rPr>
      </w:pPr>
      <w:r>
        <w:rPr>
          <w:lang w:val="el" w:eastAsia="el"/>
        </w:rPr>
        <w:t xml:space="preserve">12. </w:t>
      </w:r>
      <w:r>
        <w:rPr>
          <w:b/>
          <w:bCs/>
          <w:lang w:val="el" w:eastAsia="el"/>
        </w:rPr>
        <w:t>Αποδέκτες πίνακα ΙΖ’</w:t>
      </w:r>
    </w:p>
    <w:p>
      <w:pPr>
        <w:spacing w:before="240" w:after="240"/>
        <w:rPr>
          <w:lang w:val="el" w:eastAsia="el"/>
        </w:rPr>
      </w:pPr>
      <w:r>
        <w:rPr>
          <w:lang w:val="el" w:eastAsia="el"/>
        </w:rPr>
        <w:t xml:space="preserve">13. </w:t>
      </w:r>
      <w:r>
        <w:rPr>
          <w:b/>
          <w:bCs/>
          <w:lang w:val="el" w:eastAsia="el"/>
        </w:rPr>
        <w:t>Αποδέκτες πίνακα ΙΗ’</w:t>
      </w:r>
    </w:p>
    <w:p>
      <w:pPr>
        <w:spacing w:before="240" w:after="240"/>
        <w:rPr>
          <w:lang w:val="el" w:eastAsia="el"/>
        </w:rPr>
      </w:pPr>
      <w:r>
        <w:rPr>
          <w:lang w:val="el" w:eastAsia="el"/>
        </w:rPr>
        <w:t xml:space="preserve">14. </w:t>
      </w:r>
      <w:r>
        <w:rPr>
          <w:b/>
          <w:bCs/>
          <w:lang w:val="el" w:eastAsia="el"/>
        </w:rPr>
        <w:t>Αποδέκτες πίνακα ΚΒ’</w:t>
      </w:r>
    </w:p>
    <w:p>
      <w:pPr>
        <w:spacing w:before="240" w:after="240"/>
        <w:rPr>
          <w:lang w:val="el" w:eastAsia="el"/>
        </w:rPr>
      </w:pPr>
      <w:r>
        <w:rPr>
          <w:lang w:val="el" w:eastAsia="el"/>
        </w:rPr>
        <w:t xml:space="preserve">15. </w:t>
      </w:r>
      <w:r>
        <w:rPr>
          <w:b/>
          <w:bCs/>
          <w:lang w:val="el" w:eastAsia="el"/>
        </w:rPr>
        <w:t>Αποδέκτες πίνακα ΚΓ’</w:t>
      </w:r>
    </w:p>
    <w:p>
      <w:pPr>
        <w:spacing w:before="240" w:after="240"/>
        <w:rPr>
          <w:lang w:val="el" w:eastAsia="el"/>
        </w:rPr>
      </w:pPr>
      <w:r>
        <w:rPr>
          <w:lang w:val="el" w:eastAsia="el"/>
        </w:rPr>
        <w:t xml:space="preserve">16.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Ελεγκτικών Διαδικασιών-Τμήμα Α’</w:t>
      </w:r>
    </w:p>
    <w:p>
      <w:pPr>
        <w:spacing w:before="240" w:after="240"/>
        <w:rPr>
          <w:lang w:val="el" w:eastAsia="el"/>
        </w:rPr>
      </w:pPr>
      <w:r>
        <w:rPr>
          <w:lang w:val="el" w:eastAsia="el"/>
        </w:rPr>
        <w:t xml:space="preserve">7. </w:t>
      </w:r>
      <w:r>
        <w:rPr>
          <w:b/>
          <w:bCs/>
          <w:lang w:val="el" w:eastAsia="el"/>
        </w:rPr>
        <w:t>Διεύθυνση Προϋπολογισμού και Δημοσιονομικών Αναφορών ΓΔΟΥ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