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ΔΙΕΥΘΥΝΣΗ ΕΞΥΠΗΡΕΤΗΣΗΣ</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 ΜΗΤΡΩΟΥ ΚΑΙ ΕΙΚΟΝΑΣ</w:t>
      </w:r>
    </w:p>
    <w:p>
      <w:pPr>
        <w:spacing w:before="240" w:after="240"/>
        <w:rPr>
          <w:lang w:val="el" w:eastAsia="el"/>
        </w:rPr>
      </w:pPr>
      <w:r>
        <w:rPr>
          <w:b/>
          <w:bCs/>
          <w:lang w:val="el" w:eastAsia="el"/>
        </w:rPr>
        <w:t>ΦΟΡΟΛΟΓΟΥΜΕΝΩΝ</w:t>
      </w:r>
    </w:p>
    <w:p>
      <w:pPr>
        <w:spacing w:before="240" w:after="240"/>
        <w:rPr>
          <w:lang w:val="el" w:eastAsia="el"/>
        </w:rPr>
      </w:pPr>
      <w:r>
        <w:rPr>
          <w:b/>
          <w:bCs/>
          <w:lang w:val="el" w:eastAsia="el"/>
        </w:rPr>
        <w:t>ΙΙ. ΓΕΝΙΚΗ ΔΙΕΥΘΥΝΣΗ ΦΟΡΟΛΟΓΙΑΣ</w:t>
      </w:r>
    </w:p>
    <w:p>
      <w:pPr>
        <w:spacing w:before="240" w:after="240"/>
        <w:rPr>
          <w:lang w:val="el" w:eastAsia="el"/>
        </w:rPr>
      </w:pPr>
      <w:r>
        <w:rPr>
          <w:b/>
          <w:bCs/>
          <w:lang w:val="el" w:eastAsia="el"/>
        </w:rPr>
        <w:t>ΙΙΙ.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Ταχ. Δ/νση : Σμύρνης 23</w:t>
      </w:r>
    </w:p>
    <w:p>
      <w:pPr>
        <w:spacing w:before="240" w:after="240"/>
        <w:rPr>
          <w:lang w:val="el" w:eastAsia="el"/>
        </w:rPr>
      </w:pPr>
      <w:r>
        <w:rPr>
          <w:b/>
          <w:bCs/>
          <w:lang w:val="el" w:eastAsia="el"/>
        </w:rPr>
        <w:t>Ταχ. Κώδ. : 17778, Ταύρος</w:t>
      </w:r>
    </w:p>
    <w:p>
      <w:pPr>
        <w:spacing w:before="240" w:after="240"/>
        <w:rPr>
          <w:lang w:val="el" w:eastAsia="el"/>
        </w:rPr>
      </w:pPr>
      <w:r>
        <w:rPr>
          <w:b/>
          <w:bCs/>
          <w:lang w:val="el" w:eastAsia="el"/>
        </w:rPr>
        <w:t>Τηλέφωνο : 213 1411038</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registry@aade.gr</w:t>
        </w:r>
      </w:hyperlink>
    </w:p>
    <w:p>
      <w:pPr>
        <w:spacing w:before="240" w:after="240"/>
        <w:rPr>
          <w:lang w:val="el" w:eastAsia="el"/>
        </w:rPr>
      </w:pPr>
      <w:r>
        <w:rPr>
          <w:b/>
          <w:bCs/>
          <w:lang w:val="el" w:eastAsia="el"/>
        </w:rPr>
        <w:t>Ιστοσελίδα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Θέμα:Τροποποίηση της απόφασης του Διοικητή της Ανεξάρτητης Αρχής Δημοσίων Εσόδων (Α.Α.Δ.Ε.) Α.1069/02.05.2024 «Διαδικασία και δικαιολογητικά για τον ορισμό φορολογικού εκπροσώπου σύμφωνα με το άρθρο 8 του ν.5104/2024 “Κώδικας Φορολογικής Διαδικασίας και άλλες διατάξεις”(Α΄58)» (Β’2671).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Tων άρθρων 5, 8, 10 και 11 και της παρ.6 του άρθρου 83 του ν.5104/2024 «Κώδικας Φορολογικής Διαδικασίας και άλλες διατάξεις» (Α’ 58),</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Κώδικα Διοικητικής Διαδικασίας (ν. 2690/1999, Α’ 45),</w:t>
      </w:r>
    </w:p>
    <w:p>
      <w:pPr>
        <w:pStyle w:val="StructureList1"/>
        <w:spacing w:before="120" w:after="0"/>
        <w:rPr>
          <w:lang w:val="el" w:eastAsia="el"/>
        </w:rPr>
      </w:pPr>
      <w:r>
        <w:rPr>
          <w:b/>
          <w:bCs/>
          <w:lang w:val="el" w:eastAsia="el"/>
        </w:rPr>
        <w:t>δ)</w:t>
      </w:r>
      <w:r>
        <w:rPr>
          <w:b/>
          <w:bCs/>
          <w:lang w:val="en" w:eastAsia="en"/>
        </w:rPr>
        <w:tab/>
      </w:r>
      <w:r>
        <w:rPr>
          <w:b/>
          <w:bCs/>
          <w:lang w:val="el" w:eastAsia="el"/>
        </w:rPr>
        <w:t>του ν. 1497/1984 «Κύρωση Σύμβασης που καταργεί την υποχρέωση επικύρωσης</w:t>
      </w:r>
    </w:p>
    <w:p>
      <w:pPr>
        <w:spacing w:before="240" w:after="240"/>
        <w:rPr>
          <w:lang w:val="el" w:eastAsia="el"/>
        </w:rPr>
      </w:pPr>
      <w:r>
        <w:rPr>
          <w:b/>
          <w:bCs/>
          <w:lang w:val="el" w:eastAsia="el"/>
        </w:rPr>
        <w:t>των αλλοδαπών δημόσιων εγγράφων» (Α΄188),</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Δ.ΟΡΓ. Α 1065199 ΕΞ 2022/20-07-2022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spacing w:before="240" w:after="240"/>
        <w:rPr>
          <w:lang w:val="el" w:eastAsia="el"/>
        </w:rPr>
      </w:pPr>
      <w:r>
        <w:rPr>
          <w:b/>
          <w:bCs/>
          <w:lang w:val="el" w:eastAsia="el"/>
        </w:rPr>
        <w:t xml:space="preserve">2. </w:t>
      </w:r>
      <w:r>
        <w:rPr>
          <w:b/>
          <w:bCs/>
          <w:lang w:val="el" w:eastAsia="el"/>
        </w:rPr>
        <w:t>Τις υπό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ΠΟΛ 1006/31-12-2013 απόφαση του Γενικού Γραμματέα Δημοσίων Εσόδων του Υπουργείου Οικονομικών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pStyle w:val="StructureList1"/>
        <w:spacing w:before="120" w:after="0"/>
        <w:rPr>
          <w:lang w:val="el" w:eastAsia="el"/>
        </w:rPr>
      </w:pPr>
      <w:r>
        <w:rPr>
          <w:b/>
          <w:bCs/>
          <w:lang w:val="el" w:eastAsia="el"/>
        </w:rPr>
        <w:t>β)</w:t>
      </w:r>
      <w:r>
        <w:rPr>
          <w:b/>
          <w:bCs/>
          <w:lang w:val="en" w:eastAsia="en"/>
        </w:rPr>
        <w:tab/>
      </w:r>
      <w:r>
        <w:rPr>
          <w:b/>
          <w:bCs/>
          <w:lang w:val="el" w:eastAsia="el"/>
        </w:rPr>
        <w:t>Α.1221/27.09.2021 απόφαση του Διοικητή της Ανεξάρτητης Αρχής Δημοσίων Εσόδων «Τύπος και περιεχόμενο της δήλωσης Δ210 για την απόδοση Α.Φ.Μ. και τη μεταβολή ατομικών στοιχείων και της δήλωσης Δ211 για την έναρξη, μεταβολή, διακοπή εργασιών επιχείρησης» (Β’ 4572),</w:t>
      </w:r>
    </w:p>
    <w:p>
      <w:pPr>
        <w:pStyle w:val="StructureList1"/>
        <w:spacing w:before="120" w:after="0"/>
        <w:rPr>
          <w:lang w:val="el" w:eastAsia="el"/>
        </w:rPr>
      </w:pPr>
      <w:r>
        <w:rPr>
          <w:b/>
          <w:bCs/>
          <w:lang w:val="el" w:eastAsia="el"/>
        </w:rPr>
        <w:t>γ)</w:t>
      </w:r>
      <w:r>
        <w:rPr>
          <w:b/>
          <w:bCs/>
          <w:lang w:val="en" w:eastAsia="en"/>
        </w:rPr>
        <w:tab/>
      </w:r>
      <w:r>
        <w:rPr>
          <w:b/>
          <w:bCs/>
          <w:lang w:val="el" w:eastAsia="el"/>
        </w:rPr>
        <w:t>Α.1158/04-11-2022 απόφαση του Διοικητή της Ανεξάρτητης Αρχής Δημοσίων Εσόδων «Καθορισμός και επικαιροποίηση τύπου και περιεχομένου εντύπων της Φορολογικής Διοίκησης» (Β΄5703),</w:t>
      </w:r>
    </w:p>
    <w:p>
      <w:pPr>
        <w:pStyle w:val="StructureList1"/>
        <w:spacing w:before="120" w:after="0"/>
        <w:rPr>
          <w:lang w:val="el" w:eastAsia="el"/>
        </w:rPr>
      </w:pPr>
      <w:r>
        <w:rPr>
          <w:b/>
          <w:bCs/>
          <w:lang w:val="el" w:eastAsia="el"/>
        </w:rPr>
        <w:t>δ)</w:t>
      </w:r>
      <w:r>
        <w:rPr>
          <w:b/>
          <w:bCs/>
          <w:lang w:val="en" w:eastAsia="en"/>
        </w:rPr>
        <w:tab/>
      </w:r>
      <w:r>
        <w:rPr>
          <w:b/>
          <w:bCs/>
          <w:lang w:val="el" w:eastAsia="el"/>
        </w:rPr>
        <w:t>Α.1025/15-2-2022 απόφαση του Διοικητή της Ανεξάρτητης Αρχής Δημοσίων Εσόδων «Επικαιροποίηση στην ψηφιακή πύλη myAADE των στοιχείων επικοινωνίας των πιστοποιημένων χρηστών των ηλεκτρονικών υπηρεσιών της Ανεξάρτητης Αρχής Δημοσίων Εσόδων» (Β΄765),</w:t>
      </w:r>
    </w:p>
    <w:p>
      <w:pPr>
        <w:pStyle w:val="StructureList1"/>
        <w:spacing w:before="120" w:after="0"/>
        <w:rPr>
          <w:lang w:val="el" w:eastAsia="el"/>
        </w:rPr>
      </w:pPr>
      <w:r>
        <w:rPr>
          <w:b/>
          <w:bCs/>
          <w:lang w:val="el" w:eastAsia="el"/>
        </w:rPr>
        <w:t>ε)</w:t>
      </w:r>
      <w:r>
        <w:rPr>
          <w:b/>
          <w:bCs/>
          <w:lang w:val="en" w:eastAsia="en"/>
        </w:rPr>
        <w:tab/>
      </w:r>
      <w:r>
        <w:rPr>
          <w:b/>
          <w:bCs/>
          <w:lang w:val="el" w:eastAsia="el"/>
        </w:rPr>
        <w:t>Α.1185/23-11-2023 απόφαση του Διοικητή της Ανεξάρτητης Αρχής Δημοσίων Εσόδων «Καθορισμός διαδικασίας ταυτόχρονης απόδοσης Α.Φ.Μ. και κλειδαρίθμου σε φυσικά πρόσωπα (Β' 6708),</w:t>
      </w:r>
    </w:p>
    <w:p>
      <w:pPr>
        <w:pStyle w:val="StructureList1"/>
        <w:spacing w:before="120" w:after="0"/>
        <w:rPr>
          <w:lang w:val="el" w:eastAsia="el"/>
        </w:rPr>
      </w:pPr>
      <w:r>
        <w:rPr>
          <w:b/>
          <w:bCs/>
          <w:lang w:val="el" w:eastAsia="el"/>
        </w:rPr>
        <w:t>στ)</w:t>
      </w:r>
      <w:r>
        <w:rPr>
          <w:b/>
          <w:bCs/>
          <w:lang w:val="en" w:eastAsia="en"/>
        </w:rPr>
        <w:tab/>
      </w:r>
      <w:r>
        <w:rPr>
          <w:b/>
          <w:bCs/>
          <w:lang w:val="el" w:eastAsia="el"/>
        </w:rPr>
        <w:t>Α. 1190/01-12-2023 απόφαση του Διοικητή της Ανεξάρτητης Αρχής Δημοσίων Εσόδων «Εγγραφή νέων χρηστών και επανεγγραφή χρηστών στις ηλεκτρονικές υπηρεσίες για τις οποίες απαιτείται η χρήση Κωδικών TAXISnet» (Β΄ 6801),</w:t>
      </w:r>
    </w:p>
    <w:p>
      <w:pPr>
        <w:pStyle w:val="StructureList1"/>
        <w:spacing w:before="120" w:after="0"/>
        <w:rPr>
          <w:lang w:val="el" w:eastAsia="el"/>
        </w:rPr>
      </w:pPr>
      <w:r>
        <w:rPr>
          <w:b/>
          <w:bCs/>
          <w:lang w:val="el" w:eastAsia="el"/>
        </w:rPr>
        <w:t>ζ)</w:t>
      </w:r>
      <w:r>
        <w:rPr>
          <w:b/>
          <w:bCs/>
          <w:lang w:val="en" w:eastAsia="en"/>
        </w:rPr>
        <w:tab/>
      </w:r>
      <w:r>
        <w:rPr>
          <w:b/>
          <w:bCs/>
          <w:lang w:val="el" w:eastAsia="el"/>
        </w:rPr>
        <w:t>Α.1069/02-05-2024 απόφαση του Διοικητή της Ανεξάρτητης Αρχής Δημοσίων Εσόδων «Διαδικασία και δικαιολογητικά για τον ορισμό φορολογικού εκπροσώπου σύμφωνα με το άρθρο 8 του ν.5104/2024 “Κώδικας Φορολογικής Διαδικασίας και άλλες διατάξεις” (Α΄58)» (Β' 2671).</w:t>
      </w:r>
    </w:p>
    <w:p>
      <w:pPr>
        <w:spacing w:before="240" w:after="240"/>
        <w:rPr>
          <w:lang w:val="el" w:eastAsia="el"/>
        </w:rPr>
      </w:pPr>
      <w:r>
        <w:rPr>
          <w:b/>
          <w:bCs/>
          <w:lang w:val="el" w:eastAsia="el"/>
        </w:rPr>
        <w:t xml:space="preserve">3.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2020/17-01-2020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4. </w:t>
      </w:r>
      <w:r>
        <w:rPr>
          <w:b/>
          <w:bCs/>
          <w:lang w:val="el" w:eastAsia="el"/>
        </w:rPr>
        <w:t>Την ανάγκη τροποποίησης της διαδικασίας ορισμού φορολογικού εκπροσώπου.</w:t>
      </w:r>
    </w:p>
    <w:p>
      <w:pPr>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Τροποποιούμε την υπό στοιχεία Α.1069/02.05.2024 απόφαση του Διοικητή της Ανεξάρτητης Αρχής Δημοσίων Εσόδων (Α.Α.Δ.Ε.) «Διαδικασία και δικαιολογητικά για τον ορισμό φορολογικού εκπροσώπου σύμφωνα με το άρθρο 8 του ν.5104/2024 “Κώδικας Φορολογικής Διαδικασίας και άλλες διατάξεις” (Α΄58)» (Β’2671) και ειδικότερα την παρ. 4 του αρθρου 2 αυτής.</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Η υπό στοιχεία Α.1069/02.05.2024 «Διαδικασία και δικαιολογητικά για τον ορισμό φορολογικού εκπροσώπου σύμφωνα με το άρθρο 8 του ν.5104/2024 “Κώδικας Φορολογικής Διαδικασίας και άλλες διατάξεις” (Α΄58)» (Β’2671) τροποποιείται ως ακολούθως:</w:t>
      </w:r>
    </w:p>
    <w:p>
      <w:pPr>
        <w:spacing w:before="240" w:after="240"/>
        <w:rPr>
          <w:lang w:val="el" w:eastAsia="el"/>
        </w:rPr>
      </w:pPr>
      <w:r>
        <w:rPr>
          <w:b/>
          <w:bCs/>
          <w:lang w:val="el" w:eastAsia="el"/>
        </w:rPr>
        <w:t>Η παρ. 4 του άρθρου 2 αντικαθίσταται ως εξής:</w:t>
      </w:r>
    </w:p>
    <w:p>
      <w:pPr>
        <w:spacing w:before="240" w:after="240"/>
        <w:rPr>
          <w:lang w:val="el" w:eastAsia="el"/>
        </w:rPr>
      </w:pPr>
      <w:r>
        <w:rPr>
          <w:b/>
          <w:bCs/>
          <w:lang w:val="el" w:eastAsia="el"/>
        </w:rPr>
        <w:t>«4.Στις δηλώσεις της παρ. 1 δηλώνεται υποχρεωτικά η πλήρης διεύθυνση κατοικίας του φορολογούµενου στην αλλοδαπή, ο αριθμός φορολογικής ταυτοποίησής του στην αλλοδαπή χώρα και η διεύθυνση της ηλεκτρονικής του αλληλογραφίας.Στην περίπτωση των ανήλικων τέκνων και του προσωπικού των Διπλωματικών και των Προξενικών Αρχών ξένων κρατών στην Ελλάδα καθώς και των συγκατοικούντων μελών της οικογενειάς τους, η αναγραφή του αριθμού φορολογικής ταυτοποίησης είναι προαιρετική ενώ ως διεύθυνση κατοικίας στην περίπτωση των τελευταίων θα αναγράφεται η διεύθυνση της αλλοδαπής Αρχής στο Εξωτερικό.»</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2Έναρξη Ισχύος</w:t>
      </w:r>
    </w:p>
    <w:p>
      <w:pPr>
        <w:spacing w:before="240" w:after="240"/>
        <w:rPr>
          <w:lang w:val="el" w:eastAsia="el"/>
        </w:rPr>
      </w:pPr>
      <w:r>
        <w:rPr>
          <w:b/>
          <w:bCs/>
          <w:lang w:val="el" w:eastAsia="el"/>
        </w:rPr>
        <w:t xml:space="preserve">1. </w:t>
      </w:r>
      <w:r>
        <w:rPr>
          <w:b/>
          <w:bCs/>
          <w:lang w:val="el" w:eastAsia="el"/>
        </w:rPr>
        <w:t>Η απόφαση αυτή ισχύει από τη δημοσίευσή της στην Εφημερίδα της Κυβερνήσεως 2.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Δημόσιες Οικονομικές Υπηρεσίες (Δ.Ο.Υ.)</w:t>
      </w:r>
    </w:p>
    <w:p>
      <w:pPr>
        <w:spacing w:before="240" w:after="240"/>
        <w:rPr>
          <w:lang w:val="el" w:eastAsia="el"/>
        </w:rPr>
      </w:pPr>
      <w:r>
        <w:rPr>
          <w:b/>
          <w:bCs/>
          <w:lang w:val="el" w:eastAsia="el"/>
        </w:rPr>
        <w:t xml:space="preserve">2. </w:t>
      </w:r>
      <w:r>
        <w:rPr>
          <w:b/>
          <w:bCs/>
          <w:lang w:val="el" w:eastAsia="el"/>
        </w:rPr>
        <w:t>Γ.Ε.Φ. (μέσω των Δ.Ο.Υ.)</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 xml:space="preserve">4. </w:t>
      </w:r>
      <w:r>
        <w:rPr>
          <w:b/>
          <w:bCs/>
          <w:lang w:val="el" w:eastAsia="el"/>
        </w:rPr>
        <w:t>Διεύθυνση Εθιμοτυπίας Υπ. Εξωτερικών και</w:t>
      </w:r>
    </w:p>
    <w:p>
      <w:pPr>
        <w:spacing w:before="240" w:after="240"/>
        <w:rPr>
          <w:lang w:val="el" w:eastAsia="el"/>
        </w:rPr>
      </w:pPr>
      <w:r>
        <w:rPr>
          <w:b/>
          <w:bCs/>
          <w:lang w:val="el" w:eastAsia="el"/>
        </w:rPr>
        <w:t xml:space="preserve">5. </w:t>
      </w:r>
      <w:r>
        <w:rPr>
          <w:b/>
          <w:bCs/>
          <w:lang w:val="el" w:eastAsia="el"/>
        </w:rPr>
        <w:t>Γραφείο Γενικού Γραμμ. Υπ. Εξωτερικών</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(εκτός των αριθμ. 2 και 3 αυτού)</w:t>
      </w:r>
    </w:p>
    <w:p>
      <w:pPr>
        <w:spacing w:before="240" w:after="240"/>
        <w:rPr>
          <w:lang w:val="el" w:eastAsia="el"/>
        </w:rPr>
      </w:pPr>
      <w:r>
        <w:rPr>
          <w:b/>
          <w:bCs/>
          <w:lang w:val="el" w:eastAsia="el"/>
        </w:rPr>
        <w:t>» »Β΄</w:t>
      </w:r>
    </w:p>
    <w:p>
      <w:pPr>
        <w:spacing w:before="240" w:after="240"/>
        <w:rPr>
          <w:lang w:val="el" w:eastAsia="el"/>
        </w:rPr>
      </w:pPr>
      <w:r>
        <w:rPr>
          <w:b/>
          <w:bCs/>
          <w:lang w:val="el" w:eastAsia="el"/>
        </w:rPr>
        <w:t>» » Γ΄ (εκτός του αριθμ. 7 αυτού)</w:t>
      </w:r>
    </w:p>
    <w:p>
      <w:pPr>
        <w:spacing w:before="240" w:after="240"/>
        <w:rPr>
          <w:lang w:val="el" w:eastAsia="el"/>
        </w:rPr>
      </w:pPr>
      <w:r>
        <w:rPr>
          <w:b/>
          <w:bCs/>
          <w:lang w:val="el" w:eastAsia="el"/>
        </w:rPr>
        <w:t>» »Z΄ (εκτός των αριθμ.2, 3, 4, 5 και 6 αυτού)</w:t>
      </w:r>
    </w:p>
    <w:p>
      <w:pPr>
        <w:spacing w:before="240" w:after="240"/>
        <w:rPr>
          <w:lang w:val="el" w:eastAsia="el"/>
        </w:rPr>
      </w:pPr>
      <w:r>
        <w:rPr>
          <w:b/>
          <w:bCs/>
          <w:lang w:val="el" w:eastAsia="el"/>
        </w:rPr>
        <w:t>» » Η΄ (εκτός των αριθμ. 4, 10 και 11 αυτού)</w:t>
      </w:r>
    </w:p>
    <w:p>
      <w:pPr>
        <w:spacing w:before="240" w:after="240"/>
        <w:rPr>
          <w:lang w:val="el" w:eastAsia="el"/>
        </w:rPr>
      </w:pPr>
      <w:r>
        <w:rPr>
          <w:b/>
          <w:bCs/>
          <w:lang w:val="el" w:eastAsia="el"/>
        </w:rPr>
        <w:t xml:space="preserve">9.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 Δ/νση Εταιρειών</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companylaw@gge.gr</w:t>
        </w:r>
      </w:hyperlink>
    </w:p>
    <w:p>
      <w:pPr>
        <w:spacing w:before="240" w:after="240"/>
        <w:rPr>
          <w:lang w:val="el" w:eastAsia="el"/>
        </w:rPr>
      </w:pPr>
      <w:r>
        <w:rPr>
          <w:b/>
          <w:bCs/>
          <w:lang w:val="el" w:eastAsia="el"/>
        </w:rPr>
        <w:t>ΙΙΙ.ΕΣΩΤΕΡΙΚΗ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Όλες οι Διευθύνσεις της ΓΔΦ</w:t>
      </w:r>
    </w:p>
    <w:p>
      <w:pPr>
        <w:spacing w:before="240" w:after="240"/>
        <w:rPr>
          <w:lang w:val="el" w:eastAsia="el"/>
        </w:rPr>
      </w:pPr>
      <w:r>
        <w:rPr>
          <w:b/>
          <w:bCs/>
          <w:lang w:val="el" w:eastAsia="el"/>
        </w:rPr>
        <w:t xml:space="preserve">3. </w:t>
      </w:r>
      <w:r>
        <w:rPr>
          <w:b/>
          <w:bCs/>
          <w:lang w:val="el" w:eastAsia="el"/>
        </w:rPr>
        <w:t>Όλες οι Διευθύνσεις της ΓΔΦΛ</w:t>
      </w:r>
    </w:p>
    <w:p>
      <w:pPr>
        <w:spacing w:before="240" w:after="240"/>
        <w:rPr>
          <w:lang w:val="el" w:eastAsia="el"/>
        </w:rPr>
      </w:pPr>
      <w:r>
        <w:rPr>
          <w:b/>
          <w:bCs/>
          <w:lang w:val="el" w:eastAsia="el"/>
        </w:rPr>
        <w:t xml:space="preserve">4. </w:t>
      </w:r>
      <w:r>
        <w:rPr>
          <w:b/>
          <w:bCs/>
          <w:lang w:val="el" w:eastAsia="el"/>
        </w:rPr>
        <w:t>Όλες οι Διευθύνσεις της ΓΔΗΛΕΔ</w:t>
      </w:r>
    </w:p>
    <w:p>
      <w:pPr>
        <w:spacing w:before="240" w:after="240"/>
        <w:rPr>
          <w:lang w:val="el" w:eastAsia="el"/>
        </w:rPr>
      </w:pPr>
      <w:r>
        <w:rPr>
          <w:b/>
          <w:bCs/>
          <w:lang w:val="el" w:eastAsia="el"/>
        </w:rPr>
        <w:t xml:space="preserve">5. </w:t>
      </w:r>
      <w:r>
        <w:rPr>
          <w:b/>
          <w:bCs/>
          <w:lang w:val="el" w:eastAsia="el"/>
        </w:rPr>
        <w:t>Διεύθυνση Εξυπηρέτησης/Τμήμα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http://www.aade.gr/" TargetMode="External" /><Relationship Id="rId6" Type="http://schemas.openxmlformats.org/officeDocument/2006/relationships/hyperlink" Target="mailto:companylaw@gg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