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ΕΑΛΕ/Γ.Π. 38587</w:t>
      </w:r>
    </w:p>
    <w:p>
      <w:pPr>
        <w:pStyle w:val="PreambelText"/>
        <w:spacing w:before="240" w:after="240"/>
        <w:rPr>
          <w:lang w:val="el" w:eastAsia="el"/>
        </w:rPr>
      </w:pPr>
      <w:r>
        <w:rPr>
          <w:b/>
          <w:bCs/>
          <w:lang w:val="el" w:eastAsia="el"/>
        </w:rPr>
        <w:t>Καθορισμός μεσοσταθμικού δείκτη εξομάλυνσης της παρ. 4Α του άρθρου 100 του ν. 4172/2013.</w:t>
      </w:r>
    </w:p>
    <w:p>
      <w:pPr>
        <w:pStyle w:val="PreambelText"/>
        <w:spacing w:before="240" w:after="240"/>
        <w:rPr>
          <w:lang w:val="el" w:eastAsia="el"/>
        </w:rPr>
      </w:pPr>
      <w:r>
        <w:rPr>
          <w:b/>
          <w:bCs/>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4Α, όπως προστέθηκε με το άρθρο 35 του ν. 5107/2024 (Α’ 64), του άρθρου 100 του ν. 4172/2013 «Φορολογία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A’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3. Το π.δ. 121/2017 «Οργανισμός του Υπουργείου Υγείας» (Α’ 148).</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Το π.δ. 2/2024 «Διορισμός Υπουργών και Υφυπουργών» (Α’ 2).</w:t>
      </w:r>
    </w:p>
    <w:p>
      <w:pPr>
        <w:pStyle w:val="PreambelText"/>
        <w:spacing w:before="240" w:after="240"/>
        <w:rPr>
          <w:lang w:val="el" w:eastAsia="el"/>
        </w:rPr>
      </w:pPr>
      <w:r>
        <w:rPr>
          <w:lang w:val="el" w:eastAsia="el"/>
        </w:rPr>
        <w:t>6. Tην υπ’ αρ. 178 απόφαση της 966ης/11-07-2024 συνεδρίασης του Διοικητικού Συμβουλίου του Εθνικού Οργανισμού Παροχής Υπηρεσιών Υγείας (Ε.Ο.Π.Υ.Υ.) η οποία διαβιβάστηκε με το υπό στοιχεία ΔΒ3Ε/292/οικ. 18057/12-07-2024 έγγραφο της Διεύθυνσης Στρατηγικού Σχεδιασμού του Ε.Ο.Π.Υ.Υ.</w:t>
      </w:r>
    </w:p>
    <w:p>
      <w:pPr>
        <w:pStyle w:val="PreambelText"/>
        <w:spacing w:before="240" w:after="240"/>
        <w:rPr>
          <w:lang w:val="el" w:eastAsia="el"/>
        </w:rPr>
      </w:pPr>
      <w:r>
        <w:rPr>
          <w:lang w:val="el" w:eastAsia="el"/>
        </w:rPr>
        <w:t>7. Την υπό στοιχεία ΕΑΛΕ/Γ.Π. 21886/19.04.2024 κοινή υπουργική απόφαση «Επιτρεπόμενα όρια δαπανών του Εθνικού Οργανισμού Παροχής Υπηρεσιών Υγείας (Ε.Ο.Π.Υ.Υ.) έτους 2024 για παρεχόμενες υπηρεσίες υγείας και ιατροτεχνολογικά προϊόντα και συμπληρώματα ειδικής διατροφής» (Β’ 2365).</w:t>
      </w:r>
    </w:p>
    <w:p>
      <w:pPr>
        <w:pStyle w:val="PreambelText"/>
        <w:spacing w:before="240" w:after="240"/>
        <w:rPr>
          <w:lang w:val="el" w:eastAsia="el"/>
        </w:rPr>
      </w:pPr>
      <w:r>
        <w:rPr>
          <w:lang w:val="el" w:eastAsia="el"/>
        </w:rPr>
        <w:t>8. Την υπό στοιχεία ΕΑΛΕ/Γ.Π. 80157/01.11.2018 «Τροποποίηση και αντικατάσταση της υπό στοιχεία ΕΑΛΕ/Γ.Π. 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pStyle w:val="PreambelText"/>
        <w:spacing w:before="240" w:after="240"/>
        <w:rPr>
          <w:lang w:val="el" w:eastAsia="el"/>
        </w:rPr>
      </w:pPr>
      <w:r>
        <w:rPr>
          <w:lang w:val="el" w:eastAsia="el"/>
        </w:rPr>
        <w:t>9. Την υπό στοιχεία Β2β,Β1α/Γ.Π. 40544/30-07-2024 εισήγηση της Γενικής Διεύθυνσης Οικονομικών Υπηρεσιών του Υπουργείου Υγείας, εκδιδόμενη κατά εφαρμογή της περ. ε’ της παρ. 5 του άρθρου 24 του ν. 4270/2014, σύμφωνα με την οποία από την εφαρμογή της παρούσας δεν προκαλείται πρόσθετη δαπάνη στον προϋπολογισμό τ.ε. του Ε.Ο.Π.Υ.Υ., καθώς στόχος του Μεσοσταθμικού Δείκτη Εξομάλυνσης είναι η θέσπιση μέτρων ελέγχου της αιτούμενης μη εκκαθαρισμένης δαπάνης υπηρεσιών υγείας που προκύπτει από την εκτέλεση ιατρικών πράξεων και διαγνωστικών εξετάσεων των συμβεβλημένων παρόχων. Παράλληλα, σημειώνεται ότι δεν προκαλείται δαπάνη σε βάρος του Προϋπολογισμού του Υπουργείου Υγείας,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Με την παρούσα εξειδικεύονται, τα μέτρα ελέγχου της αιτούμενης μη εκκαθαρισμένης δαπάνης υπηρεσιών υγείας, που προκύπτει από την εκτέλεση ιατρικών πράξεων και διαγνωστικών εξετάσεων των συμβεβλημένων παρόχων με τον Ε.Ο.Π.Υ.Υ., ρυθμίζεται η διαδικασία εισαγωγής και υπολογισμού του μεσοσταθμικού δείκτη εξομάλυνσης, η ετήσια αναπροσαρμογή αυτού, καθώς και κάθε τεχνικό ή λεπτομερειακό ζήτημα που αφορά στα μέτρα ελέγχου σε εφαρμογή της παρ. 4Α του άρθρου 100 του ν. 4172/2013. Περαιτέρω και προκειμένου για τον προσδιορισμό του ποσού της αυτόματης επιστροφής που προβλέπεται στην παρ. 1(α) του άρθρου 100 του ν. 4172/2013 γίνεται εξαμηνιαία κατανομή των επιτρεπόμενων εξαμηνιαίων ορίων δαπανών της απόφασης της παρ. 4 του άρθρου 100 του ν. 4172/2013 στις κατηγορίες εξετάσεων/ιατρικών πράξεων που περιλαμβάνονται στο πεδίο εφαρμογής με βάση πληθυσμιακά κριτήρια.</w:t>
      </w:r>
    </w:p>
    <w:p>
      <w:pPr>
        <w:pStyle w:val="MainText"/>
        <w:spacing w:before="120" w:after="0"/>
        <w:rPr>
          <w:lang w:val="el" w:eastAsia="el"/>
        </w:rPr>
      </w:pPr>
      <w:r>
        <w:rPr>
          <w:b/>
          <w:bCs/>
          <w:lang w:val="el" w:eastAsia="el"/>
        </w:rPr>
        <w:t>2.</w:t>
      </w:r>
      <w:r>
        <w:rPr>
          <w:lang w:val="el" w:eastAsia="el"/>
        </w:rPr>
        <w:t xml:space="preserve"> Οι κατηγορίες υπηρεσιών υγείας διαγνωστικών εξετάσεων και πράξεων που περιλαμβάνονται στο πεδίο εφαρμογής της παρούσας είναι οι ακόλουθες:</w:t>
      </w:r>
    </w:p>
    <w:p>
      <w:pPr>
        <w:spacing w:before="240" w:after="240"/>
        <w:rPr>
          <w:lang w:val="el" w:eastAsia="el"/>
        </w:rPr>
      </w:pPr>
      <w:r>
        <w:rPr>
          <w:lang w:val="el" w:eastAsia="el"/>
        </w:rPr>
        <w:t>Α) Ε1α - Εξετάσεις Βιολογικών Υλικών</w:t>
      </w:r>
    </w:p>
    <w:p>
      <w:pPr>
        <w:spacing w:before="240" w:after="240"/>
        <w:rPr>
          <w:lang w:val="el" w:eastAsia="el"/>
        </w:rPr>
      </w:pPr>
      <w:r>
        <w:rPr>
          <w:lang w:val="el" w:eastAsia="el"/>
        </w:rPr>
        <w:t>Β) Ε2β - Μαστογραφίες</w:t>
      </w:r>
    </w:p>
    <w:p>
      <w:pPr>
        <w:spacing w:before="240" w:after="240"/>
        <w:rPr>
          <w:lang w:val="el" w:eastAsia="el"/>
        </w:rPr>
      </w:pPr>
      <w:r>
        <w:rPr>
          <w:lang w:val="el" w:eastAsia="el"/>
        </w:rPr>
        <w:t>Γ) Ε4α - CTs</w:t>
      </w:r>
    </w:p>
    <w:p>
      <w:pPr>
        <w:spacing w:before="240" w:after="240"/>
        <w:rPr>
          <w:lang w:val="el" w:eastAsia="el"/>
        </w:rPr>
      </w:pPr>
      <w:r>
        <w:rPr>
          <w:lang w:val="el" w:eastAsia="el"/>
        </w:rPr>
        <w:t>Δ) Ε4β - MRI</w:t>
      </w:r>
    </w:p>
    <w:p>
      <w:pPr>
        <w:spacing w:before="240" w:after="240"/>
        <w:rPr>
          <w:lang w:val="el" w:eastAsia="el"/>
        </w:rPr>
      </w:pPr>
      <w:r>
        <w:rPr>
          <w:lang w:val="el" w:eastAsia="el"/>
        </w:rPr>
        <w:t>Ε) E5α - Υπερηχογραφήματα Ακτινολογικών Εργαστηρίων ΣΤ) E5β - Υπερηχογραφήματα Λοιπών Ιατρικών Ειδικοτήτων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Καθορισμός του μεσοσταθμικού</w:t>
      </w:r>
    </w:p>
    <w:p>
      <w:pPr>
        <w:spacing w:before="240" w:after="240"/>
        <w:rPr>
          <w:lang w:val="el" w:eastAsia="el"/>
        </w:rPr>
      </w:pPr>
      <w:r>
        <w:rPr>
          <w:lang w:val="el" w:eastAsia="el"/>
        </w:rPr>
        <w:t>δείκτη εξομάλυνσης</w:t>
      </w:r>
    </w:p>
    <w:p>
      <w:pPr>
        <w:pStyle w:val="MainText"/>
        <w:spacing w:before="120" w:after="0"/>
        <w:rPr>
          <w:lang w:val="el" w:eastAsia="el"/>
        </w:rPr>
      </w:pPr>
      <w:r>
        <w:rPr>
          <w:b/>
          <w:bCs/>
          <w:lang w:val="el" w:eastAsia="el"/>
        </w:rPr>
        <w:t>1.</w:t>
      </w:r>
      <w:r>
        <w:rPr>
          <w:lang w:val="el" w:eastAsia="el"/>
        </w:rPr>
        <w:t xml:space="preserve"> Στα πληροφοριακά συστήματα του Ε.Ο.Π.Υ.Υ. εισάγονται οι ακόλουθοι παράμετροι:</w:t>
      </w:r>
    </w:p>
    <w:p>
      <w:pPr>
        <w:pStyle w:val="StructureList1"/>
        <w:spacing w:before="120" w:after="0"/>
        <w:rPr>
          <w:lang w:val="el" w:eastAsia="el"/>
        </w:rPr>
      </w:pPr>
      <w:r>
        <w:rPr>
          <w:lang w:val="el" w:eastAsia="el"/>
        </w:rPr>
        <w:t>α)</w:t>
      </w:r>
      <w:r>
        <w:rPr>
          <w:lang w:val="en" w:eastAsia="en"/>
        </w:rPr>
        <w:tab/>
      </w:r>
      <w:r>
        <w:rPr>
          <w:lang w:val="el" w:eastAsia="el"/>
        </w:rPr>
        <w:t>Ο αριθμός των μοναδικών ασθενών που εξυπηρετούνται σε κάθε συμβεβλημένο πάροχο με τη μορφή πλήθους μοναδικών Α.Μ.Κ.Α.,</w:t>
      </w:r>
    </w:p>
    <w:p>
      <w:pPr>
        <w:pStyle w:val="StructureList1"/>
        <w:spacing w:before="120" w:after="0"/>
        <w:rPr>
          <w:lang w:val="el" w:eastAsia="el"/>
        </w:rPr>
      </w:pPr>
      <w:r>
        <w:rPr>
          <w:lang w:val="el" w:eastAsia="el"/>
        </w:rPr>
        <w:t>β)</w:t>
      </w:r>
      <w:r>
        <w:rPr>
          <w:lang w:val="en" w:eastAsia="en"/>
        </w:rPr>
        <w:tab/>
      </w:r>
      <w:r>
        <w:rPr>
          <w:lang w:val="el" w:eastAsia="el"/>
        </w:rPr>
        <w:t>το πλήθος των παρεχόμενων εξετάσεων/ιατρικών υπηρεσιών ανά μοναδικό Α.Μ.Κ.Α.,</w:t>
      </w:r>
    </w:p>
    <w:p>
      <w:pPr>
        <w:pStyle w:val="StructureList1"/>
        <w:spacing w:before="120" w:after="0"/>
        <w:rPr>
          <w:lang w:val="el" w:eastAsia="el"/>
        </w:rPr>
      </w:pPr>
      <w:r>
        <w:rPr>
          <w:lang w:val="el" w:eastAsia="el"/>
        </w:rPr>
        <w:t>γ)</w:t>
      </w:r>
      <w:r>
        <w:rPr>
          <w:lang w:val="en" w:eastAsia="en"/>
        </w:rPr>
        <w:tab/>
      </w:r>
      <w:r>
        <w:rPr>
          <w:lang w:val="el" w:eastAsia="el"/>
        </w:rPr>
        <w:t>η μέση αξία (αιτούμενη μη εκκαθαρισμένη δαπάνη προ rebate) ανά κατηγορία εξετάσεων/ιατρικών υπηρεσιών,</w:t>
      </w:r>
    </w:p>
    <w:p>
      <w:pPr>
        <w:pStyle w:val="StructureList1"/>
        <w:spacing w:before="120" w:after="0"/>
        <w:rPr>
          <w:lang w:val="el" w:eastAsia="el"/>
        </w:rPr>
      </w:pPr>
      <w:r>
        <w:rPr>
          <w:lang w:val="el" w:eastAsia="el"/>
        </w:rPr>
        <w:t>δ)</w:t>
      </w:r>
      <w:r>
        <w:rPr>
          <w:lang w:val="en" w:eastAsia="en"/>
        </w:rPr>
        <w:tab/>
      </w:r>
      <w:r>
        <w:rPr>
          <w:lang w:val="el" w:eastAsia="el"/>
        </w:rPr>
        <w:t>τα ειδικά χαρακτηριστικά κάθε κατηγορίας εξετάσεων/ιατρικών υπηρεσιών όπως προσδιορίζονται από τις κατηγορίες του άρθρου 1 τη παρούσας,</w:t>
      </w:r>
    </w:p>
    <w:p>
      <w:pPr>
        <w:pStyle w:val="StructureList1"/>
        <w:spacing w:before="120" w:after="0"/>
        <w:rPr>
          <w:lang w:val="el" w:eastAsia="el"/>
        </w:rPr>
      </w:pPr>
      <w:r>
        <w:rPr>
          <w:lang w:val="el" w:eastAsia="el"/>
        </w:rPr>
        <w:t>ε)</w:t>
      </w:r>
      <w:r>
        <w:rPr>
          <w:lang w:val="en" w:eastAsia="en"/>
        </w:rPr>
        <w:tab/>
      </w:r>
      <w:r>
        <w:rPr>
          <w:lang w:val="el" w:eastAsia="el"/>
        </w:rPr>
        <w:t>τα ειδικά χαρακτηριστικά κάθε πάθησης, όπως εξειδικεύονται από τον κωδικό ICD-10 της νόσου,</w:t>
      </w:r>
    </w:p>
    <w:p>
      <w:pPr>
        <w:pStyle w:val="StructureList1"/>
        <w:spacing w:before="120" w:after="0"/>
        <w:rPr>
          <w:lang w:val="el" w:eastAsia="el"/>
        </w:rPr>
      </w:pPr>
      <w:r>
        <w:rPr>
          <w:lang w:val="el" w:eastAsia="el"/>
        </w:rPr>
        <w:t>στ)</w:t>
      </w:r>
      <w:r>
        <w:rPr>
          <w:lang w:val="en" w:eastAsia="en"/>
        </w:rPr>
        <w:tab/>
      </w:r>
      <w:r>
        <w:rPr>
          <w:lang w:val="el" w:eastAsia="el"/>
        </w:rPr>
        <w:t>η γεωγραφική περιοχή και τα δημογραφικά δεδομένα αυτής και</w:t>
      </w:r>
    </w:p>
    <w:p>
      <w:pPr>
        <w:pStyle w:val="StructureList1"/>
        <w:spacing w:before="120" w:after="0"/>
        <w:rPr>
          <w:lang w:val="el" w:eastAsia="el"/>
        </w:rPr>
      </w:pPr>
      <w:r>
        <w:rPr>
          <w:lang w:val="el" w:eastAsia="el"/>
        </w:rPr>
        <w:t>ζ)</w:t>
      </w:r>
      <w:r>
        <w:rPr>
          <w:lang w:val="en" w:eastAsia="en"/>
        </w:rPr>
        <w:tab/>
      </w:r>
      <w:r>
        <w:rPr>
          <w:lang w:val="el" w:eastAsia="el"/>
        </w:rPr>
        <w:t>ο μήνας του έτους στον οποίο παρέχεται η ιατρική υπηρεσία.</w:t>
      </w:r>
    </w:p>
    <w:p>
      <w:pPr>
        <w:pStyle w:val="MainText"/>
        <w:spacing w:before="120" w:after="0"/>
        <w:rPr>
          <w:lang w:val="el" w:eastAsia="el"/>
        </w:rPr>
      </w:pPr>
      <w:r>
        <w:rPr>
          <w:b/>
          <w:bCs/>
          <w:lang w:val="el" w:eastAsia="el"/>
        </w:rPr>
        <w:t>2.</w:t>
      </w:r>
      <w:r>
        <w:rPr>
          <w:lang w:val="el" w:eastAsia="el"/>
        </w:rPr>
        <w:t xml:space="preserve"> Με βάση τις ανωτέρω παραμέτρους καθορίζεται μηνιαίος μεσοσταθμικός δείκτης εξομάλυνσης (Μ.Δ.Ε.), ο οποίος προκύπτει από τον πολλαπλασιασμό του ετήσιου μέσου όρου πλήθους εξετάσεων ανά Α.Μ.Κ.Α. επί τη μέση αξία εξέτασης προ rebate ανά Περιφερειακή Ενότητα και κατηγορία διαγνωστικών εξετάσεων/παρεχόμενων ιατρικών υπηρεσιών του έτους 2023 και αποτυπώνεται με τον κάτωθι μαθηματικό τύπο:</w:t>
      </w:r>
    </w:p>
    <w:p>
      <w:pPr>
        <w:spacing w:before="240" w:after="240"/>
        <w:rPr>
          <w:lang w:val="el" w:eastAsia="el"/>
        </w:rPr>
      </w:pPr>
      <w:r>
        <w:rPr>
          <w:lang w:val="el" w:eastAsia="el"/>
        </w:rPr>
        <w:t>Μ.Ο. εξετάσεων ανά Α.Μ.Κ.Α. x M.O. αξίας εξέτασης (σε ευρώ) = Μ.Δ.Ε. (σε ευρώ)</w:t>
      </w:r>
    </w:p>
    <w:p>
      <w:pPr>
        <w:pStyle w:val="MainText"/>
        <w:spacing w:before="120" w:after="0"/>
        <w:rPr>
          <w:lang w:val="el" w:eastAsia="el"/>
        </w:rPr>
      </w:pPr>
      <w:r>
        <w:rPr>
          <w:b/>
          <w:bCs/>
          <w:lang w:val="el" w:eastAsia="el"/>
        </w:rPr>
        <w:t>3.</w:t>
      </w:r>
      <w:r>
        <w:rPr>
          <w:lang w:val="el" w:eastAsia="el"/>
        </w:rPr>
        <w:t xml:space="preserve"> Οι πίνακες με τους Μ.Δ.Ε. ανά Περιφερειακή Ενότητα και κατηγορία διαγνωστικών εξετάσεων/παρεχόμενων ιατρικών υπηρεσιών και με τους Μ.Ο. αξίας εξέτασης (σε ευρώ) ανά Α.Μ.Κ.Α. ανά Περιφερειακή Ενότητα και κατηγορία διαγνωστικών εξετάσεων/παρεχόμενων ιατρικών υπηρεσιών αποτυπώνονται στο Παράρτημα Α. Στις τιμές των παραπάνω πινάκων έχει εφαρμοστεί εξομάλυνση ακραίων τιμών όπου υπήρχε απόκλιση μεγαλύτερη του 15% από το μέσο όρο των τιμών όλων των Περιφερειακών Ενοτήτων.</w:t>
      </w:r>
    </w:p>
    <w:p>
      <w:pPr>
        <w:pStyle w:val="MainText"/>
        <w:spacing w:before="120" w:after="0"/>
        <w:rPr>
          <w:lang w:val="el" w:eastAsia="el"/>
        </w:rPr>
      </w:pPr>
      <w:r>
        <w:rPr>
          <w:b/>
          <w:bCs/>
          <w:lang w:val="el" w:eastAsia="el"/>
        </w:rPr>
        <w:t>4.</w:t>
      </w:r>
      <w:r>
        <w:rPr>
          <w:lang w:val="el" w:eastAsia="el"/>
        </w:rPr>
        <w:t xml:space="preserve"> Για τις υποκατηγορίες Ε2β Μαστογραφίες, Ε4α CTs και Ε4β MRI, όπου η τιμή αποζημίωσης εξαρτάται από τον εξοπλισμό του συμβεβλημένου παρόχου, καθορίζεται πίνακας με Μ.Ο. εξετάσεων ανά Α.Μ.Κ.Α. ανά περιφερειακή ενότητα. Ο Μ.Δ.Ε. (σε ευρώ) θα υπολογίζεται συστημικά ανά συμβεβλημένο πάροχο, λαμβάνοντας υπόψη τον Μ.Ο. εξετάσεων ανά Α.Μ.Κ.Α. της Περιφερειακής Ενότητας και την αξία εξέτασης (σε ευρώ) για τον συγκεκριμένο συμβεβλημένο πάροχο στην τρέχουσα υποβολή και αποτυπώνεται με τον κάτωθι μαθηματικό τύπο:</w:t>
      </w:r>
    </w:p>
    <w:p>
      <w:pPr>
        <w:spacing w:before="240" w:after="240"/>
        <w:rPr>
          <w:lang w:val="el" w:eastAsia="el"/>
        </w:rPr>
      </w:pPr>
      <w:r>
        <w:rPr>
          <w:lang w:val="el" w:eastAsia="el"/>
        </w:rPr>
        <w:t>Μ.Ο. εξετάσεων ανά Α.Μ.Κ.Α. (ανά περιφερειακή ενότητα και υποκατηγορία εξετάσεων) x M.O. αξίας εξέτασης υποκατηγορίας εξετάσεων και υποβολής (σε ευρώ) = Μ.Δ.Ε. υποκατηγορίας εξετάσεων και υποβολής (σε ευρώ)</w:t>
      </w:r>
    </w:p>
    <w:p>
      <w:pPr>
        <w:pStyle w:val="MainText"/>
        <w:spacing w:before="120" w:after="0"/>
        <w:rPr>
          <w:lang w:val="el" w:eastAsia="el"/>
        </w:rPr>
      </w:pPr>
      <w:r>
        <w:rPr>
          <w:b/>
          <w:bCs/>
          <w:lang w:val="el" w:eastAsia="el"/>
        </w:rPr>
        <w:t>5.</w:t>
      </w:r>
      <w:r>
        <w:rPr>
          <w:lang w:val="el" w:eastAsia="el"/>
        </w:rPr>
        <w:t xml:space="preserve"> Συγκεκριμένα για τις κατηγορίες Ε4α CTs και Ε4β MRI, καθορίζεται διακριτός δείκτης για τους ογκολογικούς ασθενείς, καθώς υπάρχει αντικειμενική ανάγκη για διενέργεια περισσότερων εξετάσεων. Για τον προσδιορισμό των διαγνωστικών εξετάσεων που εκτελούνται σε καρκινοπαθείς θα γίνεται χρήση της διάγνωσης ICD-10 με κωδικούς από C00 έως C97 (Κακοήθη νεοπλάσματα). Περαιτέρω ως μέγιστος δείκτης ανά υποκατηγορία, περιφερειακή ενότητα και ομάδα διαγνώσεων, ορίζεται ο δείκτης που προκύπτει από τα δεδομένα της Αττικής.</w:t>
      </w:r>
    </w:p>
    <w:p>
      <w:pPr>
        <w:pStyle w:val="MainText"/>
        <w:spacing w:before="120" w:after="0"/>
        <w:rPr>
          <w:lang w:val="el" w:eastAsia="el"/>
        </w:rPr>
      </w:pPr>
      <w:r>
        <w:rPr>
          <w:b/>
          <w:bCs/>
          <w:lang w:val="el" w:eastAsia="el"/>
        </w:rPr>
        <w:t>6.</w:t>
      </w:r>
      <w:r>
        <w:rPr>
          <w:lang w:val="el" w:eastAsia="el"/>
        </w:rPr>
        <w:t xml:space="preserve"> Οι πίνακες με τους Μ.Δ.Ε. ανά Περιφερειακή Ενότητα και κατηγορία διαγνωστικών εξετάσεων/παρεχόμενων ιατρικών υπηρεσιών και με τους Μ.Ο. εξετάσεων ανά Α.Μ.Κ.Α. ανά Περιφερειακή Ενότητα και κατηγορία διαγνωστικών εξετάσεων/παρεχόμενων ιατρικών υπηρεσιών αποτυπώνονται στο Παράρτημα Β.</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Εφαρμογή του μεσοσταθμικού</w:t>
      </w:r>
    </w:p>
    <w:p>
      <w:pPr>
        <w:spacing w:before="240" w:after="240"/>
        <w:rPr>
          <w:lang w:val="el" w:eastAsia="el"/>
        </w:rPr>
      </w:pPr>
      <w:r>
        <w:rPr>
          <w:lang w:val="el" w:eastAsia="el"/>
        </w:rPr>
        <w:t>δείκτη εξομάλυνσης</w:t>
      </w:r>
    </w:p>
    <w:p>
      <w:pPr>
        <w:spacing w:before="240" w:after="240"/>
        <w:rPr>
          <w:lang w:val="el" w:eastAsia="el"/>
        </w:rPr>
      </w:pPr>
      <w:r>
        <w:rPr>
          <w:lang w:val="el" w:eastAsia="el"/>
        </w:rPr>
        <w:t>Κατά τη μηνιαία υποβολή δαπάνης εκάστοτε συμβεβλημένου παρόχου υπολογίζεται πριν την εφαρμογή του rebate το γινόμενο του πλήθους μοναδικών Α.Μ.Κ.Α. που περιλαμβάνονται στην υποβολή με βάση τα εκτελεσμένα παραπεμπτικά ανά κατηγορία διαγνωστικών εξετάσεων/ παρεχόμενων ιατρικών υπηρεσιών επί του Μ.Δ.Ε. (σε ευρώ) της κατηγορίας. Η υπέρβαση της αιτούμενης δαπάνης έναντι του ανωτέρω γινομένου δεν αποζημιώνεται από τον Ε.Ο.Π.Υ.Υ.</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Ετήσια Αναπροσαρμογή</w:t>
      </w:r>
    </w:p>
    <w:p>
      <w:pPr>
        <w:spacing w:before="240" w:after="240"/>
        <w:rPr>
          <w:lang w:val="el" w:eastAsia="el"/>
        </w:rPr>
      </w:pPr>
      <w:r>
        <w:rPr>
          <w:lang w:val="el" w:eastAsia="el"/>
        </w:rPr>
        <w:t>Κάθε επόμενο έτος ο Ε.Ο.Π.Υ.Υ. υπολογίζει εκ νέου τους μεσοσταθμικούς δείκτες εξομάλυνσης ανά Περιφερειακή Ενότητα και κατηγορία διαγνωστικών εξετάσεων/ παρεχόμενων ιατρικών υπηρεσιών. Εφόσον κάποιοι εξ αυτών αποκλίνουν κατά ±10% σε σχέση με τα υφιστάμενα, τότε γίνεται αντίστοιχη τροποποίηση των Πινάκων των Παραρτημάτων, μετά από πρόταση του Διοικητικού Συμβουλίου του Ε.Ο.Π.Υ.Υ.</w:t>
      </w:r>
    </w:p>
    <w:p>
      <w:pPr>
        <w:spacing w:before="240" w:after="240"/>
        <w:rPr>
          <w:lang w:val="el" w:eastAsia="el"/>
        </w:rPr>
      </w:pPr>
      <w:r>
        <w:rPr>
          <w:lang w:val="el" w:eastAsia="el"/>
        </w:rPr>
        <w:t>Οι πίνακες των παραρτημάτων αποτελούν αναπόσπαστο μέρος της παρούσας απόφασης.</w:t>
      </w:r>
    </w:p>
    <w:p>
      <w:pPr>
        <w:spacing w:before="240" w:after="240"/>
        <w:rPr>
          <w:lang w:val="el" w:eastAsia="el"/>
        </w:rPr>
      </w:pPr>
      <w:r>
        <w:rPr>
          <w:lang w:val="el" w:eastAsia="el"/>
        </w:rPr>
        <w:t>ΠΑΡΑΡΤΗΜΑ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09"/>
        <w:gridCol w:w="1684"/>
        <w:gridCol w:w="1684"/>
        <w:gridCol w:w="168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Μεσοσταθμικός Δείκτης Εξομάλυνσης ανά περιφερειακή ενότητα και υποκατηγορία εξετάσεων/παρεχόμενων ιατρικών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50,54 €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39,99 €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50,54 €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49,63 €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45,74 €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51,73 €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37,36 €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34,63 €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37,36 €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49,83 €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46,87 €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51,73 €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51,35 €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36,18 €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51,73 €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37,36 €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39,61 €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Ιωαννίνων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37,36 €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51,73 €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51,73 €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46,88 €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37,36 €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40,35 €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Κορίνθου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45,79 €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39,34 €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48,11 €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09"/>
        <w:gridCol w:w="1684"/>
        <w:gridCol w:w="1684"/>
        <w:gridCol w:w="168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Μεσοσταθμικός Δείκτης Εξομάλυνσης ανά περιφερειακή ενότητα και υποκατηγορία εξετάσεων/παρεχόμενων ιατρικών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49,71 €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51,73 €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48,43 €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50,54 €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44,77 €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42,66 €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Ξάνθης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37,36 €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43,54 €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51,73 €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Πρέβεζας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42,58 €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Ρεθύμνου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45,85 €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Ροδόπης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37,36 €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Φθιώτιδας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Φλώρινας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39,34 €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50,54 €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37,76 €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51,73 €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50,54 €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51,73 €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3"/>
        <w:gridCol w:w="64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Εξετάσεις Βιολογικών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Υπερηχογραφήματα Ακτινολογικών Εργαστηρίων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Υπερηχογραφήματα Λοιπών Ιατρικών Ειδικοτήτων</w:t>
            </w:r>
          </w:p>
        </w:tc>
      </w:tr>
    </w:tbl>
    <w:p>
      <w:pPr>
        <w:spacing w:before="240" w:after="240"/>
        <w:rPr>
          <w:lang w:val="el" w:eastAsia="el"/>
        </w:rPr>
      </w:pPr>
      <w:r>
        <w:rPr>
          <w:lang w:val="el" w:eastAsia="el"/>
        </w:rPr>
        <w:t>ΠΑΡΑΡΤΗΜΑ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5"/>
        <w:gridCol w:w="820"/>
        <w:gridCol w:w="1182"/>
        <w:gridCol w:w="1715"/>
        <w:gridCol w:w="591"/>
        <w:gridCol w:w="591"/>
        <w:gridCol w:w="1715"/>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εξετάσεων ανά Α.Μ.Κ.Α. ανά περιφερειακή ενότητα και υποκατηγορία εξετάσεων/παρεχόμενων ιατρικών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Ε2β</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C01-C97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ICD-10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C01-C97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ICD-10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Ιωαννίνων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5"/>
        <w:gridCol w:w="820"/>
        <w:gridCol w:w="1182"/>
        <w:gridCol w:w="1715"/>
        <w:gridCol w:w="591"/>
        <w:gridCol w:w="591"/>
        <w:gridCol w:w="1715"/>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εξετάσεων ανά Α.Μ.Κ.Α. ανά περιφερειακή ενότητα και υποκατηγορία εξετάσεων/παρεχόμενων ιατρικών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Ε2β</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C01-C97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ICD-10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C01-C97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ICD-10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Κορίνθου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Ξάνθης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Πρέβεζας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Ρεθύμνου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Ροδόπης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Φθιώτιδας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Φλώρινας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5"/>
        <w:gridCol w:w="820"/>
        <w:gridCol w:w="1182"/>
        <w:gridCol w:w="1715"/>
        <w:gridCol w:w="591"/>
        <w:gridCol w:w="591"/>
        <w:gridCol w:w="1715"/>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εξετάσεων ανά Α.Μ.Κ.Α. ανά περιφερειακή ενότητα και υποκατηγορία εξετάσεων/παρεχόμενων ιατρικών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Ε2β</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C01-C97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ICD-10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C01-C97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ICD-10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5"/>
        <w:gridCol w:w="21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Μαστογραφίες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MRI</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Ιουλίου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