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 ΔΙΕΥΘΥΝΣΗ ΑΝΑΠΤΥΞΗΣ ΦΟΡΟΛΟΓΙΚΩΝ ΕΦΑΡΜΟΓΩΝ</w:t>
      </w:r>
    </w:p>
    <w:p>
      <w:pPr>
        <w:spacing w:before="240" w:after="240"/>
        <w:rPr>
          <w:lang w:val="el" w:eastAsia="el"/>
        </w:rPr>
      </w:pPr>
      <w:r>
        <w:rPr>
          <w:b/>
          <w:bCs/>
          <w:lang w:val="el" w:eastAsia="el"/>
        </w:rPr>
        <w:t>Χανδρή 1 &amp; Θεσσαλονίκης 18346 Μοσχάτο 2104802164</w:t>
      </w:r>
    </w:p>
    <w:p>
      <w:pPr>
        <w:spacing w:before="240" w:after="240"/>
        <w:rPr>
          <w:lang w:val="el" w:eastAsia="el"/>
        </w:rPr>
      </w:pPr>
      <w:hyperlink r:id="rId4" w:history="1">
        <w:r>
          <w:rPr>
            <w:rStyle w:val="Hyperlink"/>
            <w:b/>
            <w:bCs/>
            <w:color w:val="0000EE"/>
            <w:u w:color="0000EE"/>
            <w:lang w:val="el" w:eastAsia="el"/>
          </w:rPr>
          <w:t>defk.a@aade.gr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Ως Πίνακας Διανομής</w:t>
      </w:r>
    </w:p>
    <w:p>
      <w:pPr>
        <w:spacing w:before="240" w:after="240"/>
        <w:rPr>
          <w:lang w:val="el" w:eastAsia="el"/>
        </w:rPr>
      </w:pPr>
      <w:r>
        <w:rPr>
          <w:b/>
          <w:bCs/>
          <w:u w:val="single"/>
          <w:lang w:val="el" w:eastAsia="el"/>
        </w:rPr>
        <w:t>ΘΕΜΑ: Τροποποίηση της υπό στοιχεία Α. 1015/2024 απόφασης του Διοικητή της ΑΑΔΕ με θέμα: «Αυτόματη δημιουργία και υποβολή ψηφιακής δήλωσης στοιχείων ακινήτων (Ε9) στις περιπτώσεις ψηφιακής υποβολής δήλωσης φόρου δωρεάς και γονικής παροχής ακινήτων μέσω της εφαρμογής myPROPERTY» (Β΄735).</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Tου άρθρου 23 του ν. 3427/2005 «Φόρος προστιθέμενης αξίας στις νέες οικοδομές, μεταβολές στη φορολογία κεφαλαίου και άλλες διατάξεις» (Α΄ 312) και ειδικότερα της παρ. 11 αυτού,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των άρθρων 1 έως 8 του ν. 4223/2013 «Ενιαίος Φόρος Ιδιοκτησίας Ακινήτων και άλλες διατάξεις» (Α΄ 287),</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του άρθρου 32 του ν. 3842/2010 «Αποκατάσταση φορολογικής δικαιοσύνης, αντιμετώπιση της φοροδιαφυγής και άλλες διατάξεις» (Α΄58),</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Κώδικα Διατάξεων Φορολογίας κληρονομιών, δωρεών, γονικών παροχών προικών και κερδών από τυχερά παίγνια (ν. 2961/2001, Α’ 266),</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ν. 5104/2024 «Κώδικας Φορολογικής Διαδικασίας και άλλες διατάξεις» (Α΄58), στ)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2. </w:t>
      </w:r>
      <w:r>
        <w:rPr>
          <w:b/>
          <w:bCs/>
          <w:u w:val="single"/>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υπ’ αρ. 39/3/30-11-2017 (Υ.Ο.Δ.Δ. 689) απόφαση του Συμβουλίου Διοίκησης της ΑΑΔΕ και υπό στοιχεία 5294 ΕΞ 2020/17-01-2020 (Υ.Ο.Δ.Δ. 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u w:val="single"/>
          <w:lang w:val="el" w:eastAsia="el"/>
        </w:rPr>
        <w:t xml:space="preserve">3. </w:t>
      </w:r>
      <w:r>
        <w:rPr>
          <w:b/>
          <w:bCs/>
          <w:u w:val="single"/>
          <w:lang w:val="el" w:eastAsia="el"/>
        </w:rPr>
        <w:t xml:space="preserve">Τις υπό στοιχεία Α. 1035/2023 (Β΄1831), Α. 1099/2023 (Β΄4327), Α. 1015/2024 (Β΄735) αποφάσεις του Διοικητή της ΑΑΔΕ και τις υπό στοιχεία ΠΟΛ 1052/2014 </w:t>
      </w:r>
      <w:r>
        <w:rPr>
          <w:u w:val="single"/>
          <w:lang w:val="el" w:eastAsia="el"/>
        </w:rPr>
        <w:t>(</w:t>
      </w:r>
      <w:r>
        <w:rPr>
          <w:b/>
          <w:bCs/>
          <w:u w:val="single"/>
          <w:lang w:val="el" w:eastAsia="el"/>
        </w:rPr>
        <w:t>Β' 389) και ΠΟΛ 1200/2014 (Β' 2444) αποφάσεις του Γενικού Γραμματέα Δημοσίων Εσόδων (ΓΓΔΕ) του Υπουργείου Οικονομικών σχετικά με τον τύπο και το περιεχόμενο της δήλωσης στοιχείων ακινήτων (Ε9), τον τρόπο αναγραφής των ακινήτων, τα δικαιολογητικά που συνυποβάλλονται, τη διαδικασία υποβολής και την αυτόματη δημιουργία και υποβολή ψηφιακής δήλωσης στοιχείων ακινήτων (Ε9).</w:t>
      </w:r>
    </w:p>
    <w:p>
      <w:pPr>
        <w:spacing w:before="240" w:after="240"/>
        <w:rPr>
          <w:lang w:val="el" w:eastAsia="el"/>
        </w:rPr>
      </w:pPr>
      <w:r>
        <w:rPr>
          <w:u w:val="single"/>
          <w:lang w:val="el" w:eastAsia="el"/>
        </w:rPr>
        <w:t xml:space="preserve">4. </w:t>
      </w:r>
      <w:r>
        <w:rPr>
          <w:b/>
          <w:bCs/>
          <w:u w:val="single"/>
          <w:lang w:val="el" w:eastAsia="el"/>
        </w:rPr>
        <w:t>Την υπό στοιχεία Α. 1249/2021 (Β΄5779) απόφαση του Διοικητή της ΑΑΔΕ, σχετικά με την ψηφιακή υποβολή δηλώσεων φόρου δωρεών και γονικών παροχών.</w:t>
      </w:r>
    </w:p>
    <w:p>
      <w:pPr>
        <w:spacing w:before="240" w:after="240"/>
        <w:rPr>
          <w:lang w:val="el" w:eastAsia="el"/>
        </w:rPr>
      </w:pPr>
      <w:r>
        <w:rPr>
          <w:u w:val="single"/>
          <w:lang w:val="el" w:eastAsia="el"/>
        </w:rPr>
        <w:t xml:space="preserve">5. </w:t>
      </w:r>
      <w:r>
        <w:rPr>
          <w:b/>
          <w:bCs/>
          <w:u w:val="single"/>
          <w:lang w:val="el" w:eastAsia="el"/>
        </w:rPr>
        <w:t>Την ανάγκη τροποποίησης της υπό στοιχεία Α. 1015/2024 απόφασης του Διοικητή της ΑΑΔΕ, ως προς το πεδίο εφαρμογής και τη διαδικασία αυτόματης δημιουργίας και υποβολής ψηφιακής δήλωσης στοιχείων ακινήτων (Ε9), στις περιπτώσεις ψηφιακής υποβολής δήλωσης φόρου δωρεάς και γονικής παροχής ακινήτων.</w:t>
      </w:r>
    </w:p>
    <w:p>
      <w:pPr>
        <w:spacing w:before="240" w:after="240"/>
        <w:rPr>
          <w:lang w:val="el" w:eastAsia="el"/>
        </w:rPr>
      </w:pPr>
      <w:r>
        <w:rPr>
          <w:u w:val="single"/>
          <w:lang w:val="el" w:eastAsia="el"/>
        </w:rPr>
        <w:t xml:space="preserve">6. </w:t>
      </w:r>
      <w:r>
        <w:rPr>
          <w:b/>
          <w:bCs/>
          <w:u w:val="single"/>
          <w:lang w:val="el" w:eastAsia="el"/>
        </w:rPr>
        <w:t>Το γεγονός ότι με την παρούσα απόφαση δεν προκαλείται δαπάνη στον προϋπολογισμό της Ανεξάρτητης Αρχής Δημοσίων Εσόδων.</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Τροποποιούμε την υπό στοιχεία</w:t>
      </w:r>
      <w:r>
        <w:rPr>
          <w:rStyle w:val="link"/>
          <w:b/>
          <w:bCs/>
          <w:u w:val="single"/>
          <w:lang w:val="el" w:eastAsia="el"/>
        </w:rPr>
        <w:t xml:space="preserve"> Α.1015/2024</w:t>
      </w:r>
      <w:r>
        <w:rPr>
          <w:b/>
          <w:bCs/>
          <w:u w:val="single"/>
          <w:lang w:val="el" w:eastAsia="el"/>
        </w:rPr>
        <w:t xml:space="preserve"> απόφαση του Διοικητή της ΑΑΔΕ «Αυτόματη δημιουργία και υποβολή ψηφιακής δήλωσης στοιχείων ακινήτων (Ε9) στις περιπτώσεις ψηφιακής υποβολής δήλωσης φόρου δωρεάς και γονικής παροχής ακινήτων μέσω της εφαρμογής myPROPERTY» (Β΄735), ως ακολούθως: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παρ. 2 του άρθρου 1 της υπό στοιχεία Α. 1015/2024 απόφασης του Διοικητή της ΑΑΔΕ αντικαθίσταται ως εξής:</w:t>
      </w:r>
    </w:p>
    <w:p>
      <w:pPr>
        <w:spacing w:before="240" w:after="240"/>
        <w:rPr>
          <w:lang w:val="el" w:eastAsia="el"/>
        </w:rPr>
      </w:pPr>
      <w:r>
        <w:rPr>
          <w:b/>
          <w:bCs/>
          <w:u w:val="single"/>
          <w:lang w:val="el" w:eastAsia="el"/>
        </w:rPr>
        <w:t>«2. Με την επιφύλαξη των όσων προβλέπονται στο άρθρο 3 τα οριζόμενα στην παρ. 1 εφαρμόζονται σε συμβόλαια δωρεών και γονικών παροχών, με τα οποία μεταβιβάζεται ποσοστό μικρότερο ή ίσο του εκατό τοις εκατό (≤100%) πλήρους κυριότητας ή ψιλής κυριότητας ή επικαρπίας επί ακινήτου από έναν δωρητή/γονέα σε έναν ή περισσότερους δωρεοδόχους/ τέκνα.».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Στην παρ. 1 του άρθρου 2 της υπό στοιχεία Α. 1015/2024 απόφασης του Διοικητή της ΑΑΔΕ προστίθεται δεύτερο εδάφιο ως εξής:</w:t>
      </w:r>
    </w:p>
    <w:p>
      <w:pPr>
        <w:spacing w:before="240" w:after="240"/>
        <w:rPr>
          <w:lang w:val="el" w:eastAsia="el"/>
        </w:rPr>
      </w:pPr>
      <w:r>
        <w:rPr>
          <w:b/>
          <w:bCs/>
          <w:u w:val="single"/>
          <w:lang w:val="el" w:eastAsia="el"/>
        </w:rPr>
        <w:t>«Την ίδια υποχρέωση έχει και ο δωρεοδόχος/τέκνο, εφόσον έχει ήδη δικαίωμα επί του μεταβιβαζόμενου ακινήτου».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Στην περ. α της παρ. 2 του άρθρου 2 της υπό στοιχεία Α. 1015/2024 απόφασης του Διοικητή της ΑΑΔΕ το δεύτερο εδάφιο αντικαθίσταται ως εξής:</w:t>
      </w:r>
    </w:p>
    <w:p>
      <w:pPr>
        <w:spacing w:before="240" w:after="240"/>
        <w:rPr>
          <w:lang w:val="el" w:eastAsia="el"/>
        </w:rPr>
      </w:pPr>
      <w:r>
        <w:rPr>
          <w:b/>
          <w:bCs/>
          <w:u w:val="single"/>
          <w:lang w:val="el" w:eastAsia="el"/>
        </w:rPr>
        <w:t>«Η στήλη «Κωδικός Μεταβολής» συμπληρώνεται με τον κωδικό 1 (δήλωση νέου ακινήτου) ή με τον κωδικό 2 (τροποποίηση στοιχείων ακινήτων) ή τον κωδικό 3 (διαγραφή ακινήτου), κατά περίπτωση.».</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 περ. β της παρ. 2 του άρθρου 2 της υπό στοιχεία Α. 1015/2024 απόφασης του Διοικητή της ΑΑΔΕ αντικαθίσταται ως εξής:</w:t>
      </w:r>
    </w:p>
    <w:p>
      <w:pPr>
        <w:spacing w:before="240" w:after="240"/>
        <w:rPr>
          <w:lang w:val="el" w:eastAsia="el"/>
        </w:rPr>
      </w:pPr>
      <w:r>
        <w:rPr>
          <w:b/>
          <w:bCs/>
          <w:u w:val="single"/>
          <w:lang w:val="el" w:eastAsia="el"/>
        </w:rPr>
        <w:t>«β) Για τον δωρεοδόχο/ τέκνο, στην περίπτωση που δεν έχει ήδη δικαίωμα επί του μεταβιβαζόμενου ακινήτου, τα πεδία της δήλωσης στοιχείων ακινήτων που αφορούν στην περιγραφή του ακινήτου συμπληρώνονται με τα στοιχεία που αντιστοιχούν στον Α.Τ.ΑΚ. του μεταβιβαζόμενου ακινήτου και αντλούνται από την τρέχουσα περιουσιακή κατάσταση της ακίνητης περιουσίας του δωρητή/ γονέα στο ΟΠΣ Περιουσιολογίου Ακινήτων. Η στήλη «Κωδικός Μεταβολής» συμπληρώνεται με τον κωδικό 1 (δήλωση νέου ακινήτου).</w:t>
      </w:r>
    </w:p>
    <w:p>
      <w:pPr>
        <w:spacing w:before="240" w:after="240"/>
        <w:rPr>
          <w:lang w:val="el" w:eastAsia="el"/>
        </w:rPr>
      </w:pPr>
      <w:r>
        <w:rPr>
          <w:b/>
          <w:bCs/>
          <w:u w:val="single"/>
          <w:lang w:val="el" w:eastAsia="el"/>
        </w:rPr>
        <w:t>Στις περιπτώσεις που ο δωρεοδόχος/ τέκνο έχει ήδη δικαίωμα ψιλής κυριότητας ή επικαρπίας σε ποσοστό εκατό τοις εκατό (100%), επί του μεταβιβαζόμενου ακινήτου τροποποιούνται τα στοιχεία του Α.Τ.ΑΚ. που αντιστοιχεί στο δικαίωμα επί του ακινήτου ή δημιουργείται νέος Α.Τ.ΑΚ., κατά περίπτωση. Η στήλη «Κωδικός Μεταβολής» συμπληρώνεται με τον κωδικό 1 (δήλωση νέου ακινήτου) ή τον κωδικό 2 (τροποποίηση στοιχείων ακινήτων) ή τον κωδικό 3 (διαγραφή ακινήτου), κατά περίπτωση.</w:t>
      </w:r>
    </w:p>
    <w:p>
      <w:pPr>
        <w:spacing w:before="240" w:after="240"/>
        <w:rPr>
          <w:lang w:val="el" w:eastAsia="el"/>
        </w:rPr>
      </w:pPr>
      <w:r>
        <w:rPr>
          <w:u w:val="single"/>
          <w:lang w:val="el" w:eastAsia="el"/>
        </w:rPr>
        <w:t xml:space="preserve">5. </w:t>
      </w:r>
      <w:r>
        <w:rPr>
          <w:b/>
          <w:bCs/>
          <w:u w:val="single"/>
          <w:lang w:val="el" w:eastAsia="el"/>
        </w:rPr>
        <w:t>Η περ. α του άρθρου 3 της υπό στοιχεία Α. 1015/2024 απόφασης του Διοικητή της ΑΑΔΕ αντικαθίσταται ως εξής:</w:t>
      </w:r>
    </w:p>
    <w:p>
      <w:pPr>
        <w:spacing w:before="240" w:after="240"/>
        <w:rPr>
          <w:lang w:val="el" w:eastAsia="el"/>
        </w:rPr>
      </w:pPr>
      <w:r>
        <w:rPr>
          <w:b/>
          <w:bCs/>
          <w:u w:val="single"/>
          <w:lang w:val="el" w:eastAsia="el"/>
        </w:rPr>
        <w:t>«α) σε περίπτωση που δεν καταχωρηθούν τα στοιχεία του συμβολαίου δωρεάς ή γονικής παροχής ή/και δεν αναρτηθεί αυτό στην εφαρμογή «myPROPERTY» έως και την 10η Ιανουαρίου του επόμενου της σύνταξης του συμβολαίου έτους,».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Στο άρθρο 3 της υπό στοιχεία Α. 1015/2024 απόφασης του Διοικητή της ΑΑΔΕ προστίθεται περ. γ ως εξής:</w:t>
      </w:r>
    </w:p>
    <w:p>
      <w:pPr>
        <w:spacing w:before="240" w:after="240"/>
        <w:rPr>
          <w:lang w:val="el" w:eastAsia="el"/>
        </w:rPr>
      </w:pPr>
      <w:r>
        <w:rPr>
          <w:b/>
          <w:bCs/>
          <w:u w:val="single"/>
          <w:lang w:val="el" w:eastAsia="el"/>
        </w:rPr>
        <w:t>«γ) στην περίπτωση που το ποσοστό πλήρους κυριότητας ή ψιλής κυριότητας ή επικαρπίας επί του ακινήτου που κατέχει ήδη ο δωρητής/ γονέας ή ο δωρεοδόχος/τέκνο είναι μικρότερο του εκατό τοις εκατό (&lt;100%).».</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Η παρούσα ισχύει για συμβολαιογραφικά έγγραφα που αναρτώνται στην ψηφιακή εφαρμογή «myPROPERTY» της ΑΑΔΕ από τη δημοσίευσή της στην Εφημερίδα της Κυβερνήσεως και αφορούν δηλώσεις φόρου δωρεάς ή γονικής παροχής ακινήτων που έχουν υποβληθεί από τις 2/1/2024.</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ΔΙΟΙΚΗΤΗΣ ΤΗΣ ΑΝΕΞΑΡΤΗΤΗΣΑΡΧΗΣ ΔΗΜΟΣΙΩΝ ΕΣΟΔΩΝΓΕΩΡΓΙΟΣ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u w:val="single"/>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u w:val="single"/>
          <w:lang w:val="el" w:eastAsia="el"/>
        </w:rPr>
        <w:t xml:space="preserve">1. </w:t>
      </w:r>
      <w:r>
        <w:rPr>
          <w:b/>
          <w:bCs/>
          <w:u w:val="single"/>
          <w:lang w:val="el" w:eastAsia="el"/>
        </w:rPr>
        <w:t>Αποδέκτες Πίνακα Γ΄ (περιπτώσεις 7,10)</w:t>
      </w:r>
    </w:p>
    <w:p>
      <w:pPr>
        <w:spacing w:before="240" w:after="240"/>
        <w:rPr>
          <w:lang w:val="el" w:eastAsia="el"/>
        </w:rPr>
      </w:pPr>
      <w:r>
        <w:rPr>
          <w:u w:val="single"/>
          <w:lang w:val="el" w:eastAsia="el"/>
        </w:rPr>
        <w:t xml:space="preserve">2. </w:t>
      </w:r>
      <w:r>
        <w:rPr>
          <w:b/>
          <w:bCs/>
          <w:u w:val="single"/>
          <w:lang w:val="el" w:eastAsia="el"/>
        </w:rPr>
        <w:t>Γ. ΔΗΛΕΔ</w:t>
      </w:r>
    </w:p>
    <w:p>
      <w:pPr>
        <w:spacing w:before="240" w:after="240"/>
        <w:rPr>
          <w:lang w:val="el" w:eastAsia="el"/>
        </w:rPr>
      </w:pPr>
      <w:r>
        <w:rPr>
          <w:u w:val="single"/>
          <w:lang w:val="el" w:eastAsia="el"/>
        </w:rPr>
        <w:t xml:space="preserve">3.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Γενικής Γραμματέως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(περιπτώσεις 1 έως και 6, 8,9)</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11)</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Γενική Διεύθυνση Ηλεκτρονικής Διακυβέρνησης</w:t>
      </w:r>
    </w:p>
    <w:p>
      <w:pPr>
        <w:spacing w:before="240" w:after="240"/>
        <w:rPr>
          <w:lang w:val="el" w:eastAsia="el"/>
        </w:rPr>
      </w:pPr>
      <w:r>
        <w:rPr>
          <w:u w:val="single"/>
          <w:lang w:val="el" w:eastAsia="el"/>
        </w:rPr>
        <w:t xml:space="preserve">6. </w:t>
      </w:r>
      <w:r>
        <w:rPr>
          <w:b/>
          <w:bCs/>
          <w:u w:val="single"/>
          <w:lang w:val="el" w:eastAsia="el"/>
        </w:rPr>
        <w:t>Δ/νση Εφαρμογής Φορολογίας Κεφαλαίου και Περιουσιολογίου – Τμήμα Α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