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I. ΓΕΝΙΚΗ ΔΙΕΥΘΥΝΣΗ ΦΟΡΟΛΟΓΙΑΣ</w:t>
      </w:r>
    </w:p>
    <w:p>
      <w:pPr>
        <w:pStyle w:val="PreambelText"/>
        <w:spacing w:before="240" w:after="240"/>
        <w:rPr>
          <w:lang w:val="el" w:eastAsia="el"/>
        </w:rPr>
      </w:pPr>
      <w:r>
        <w:rPr>
          <w:b/>
          <w:bCs/>
          <w:lang w:val="el" w:eastAsia="el"/>
        </w:rPr>
        <w:t>1.ΔΙΕΥΘΥΝΣΗ ΕΦΑΡΜΟΓΗΣ ΕΜΜΕΣΗΣ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 xml:space="preserve">Πειραιώς 180 177 78, Ταύρος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ΑΔΑ ΨΛΝΤ46ΜΠ3Ζ-35Γ</w:t>
      </w:r>
    </w:p>
    <w:p>
      <w:pPr>
        <w:pStyle w:val="PreambelText"/>
        <w:spacing w:before="240" w:after="240"/>
        <w:rPr>
          <w:lang w:val="el" w:eastAsia="el"/>
        </w:rPr>
      </w:pPr>
      <w:r>
        <w:rPr>
          <w:b/>
          <w:bCs/>
          <w:lang w:val="el" w:eastAsia="el"/>
        </w:rPr>
        <w:t>Αριθ. ΦΕΚ:4741</w:t>
      </w:r>
    </w:p>
    <w:p>
      <w:pPr>
        <w:pStyle w:val="PreambelText"/>
        <w:spacing w:before="240" w:after="240"/>
        <w:rPr>
          <w:lang w:val="el" w:eastAsia="el"/>
        </w:rPr>
      </w:pPr>
      <w:r>
        <w:rPr>
          <w:b/>
          <w:bCs/>
          <w:lang w:val="el" w:eastAsia="el"/>
        </w:rPr>
        <w:t>Αθήνα, 14/8/2024</w:t>
      </w:r>
    </w:p>
    <w:p>
      <w:pPr>
        <w:pStyle w:val="PreambelText"/>
        <w:spacing w:before="240" w:after="240"/>
        <w:rPr>
          <w:lang w:val="el" w:eastAsia="el"/>
        </w:rPr>
      </w:pPr>
      <w:r>
        <w:rPr>
          <w:b/>
          <w:bCs/>
          <w:lang w:val="el" w:eastAsia="el"/>
        </w:rPr>
        <w:t>Α.1135</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ΦΟΡΟΛΟΓΙΑΣΤΜΗΜΑΤΑ Α΄ &amp; Β΄</w:t>
      </w:r>
    </w:p>
    <w:p>
      <w:pPr>
        <w:pStyle w:val="PreambelText"/>
        <w:spacing w:before="240" w:after="240"/>
        <w:rPr>
          <w:lang w:val="el" w:eastAsia="el"/>
        </w:rPr>
      </w:pPr>
      <w:r>
        <w:rPr>
          <w:b/>
          <w:bCs/>
          <w:lang w:val="el" w:eastAsia="el"/>
        </w:rPr>
        <w:t xml:space="preserve">Πειραιώς 180 177 78, Ταύρος 213-1410219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pStyle w:val="PreambelText"/>
        <w:spacing w:before="240" w:after="240"/>
        <w:rPr>
          <w:lang w:val="el" w:eastAsia="el"/>
        </w:rPr>
      </w:pPr>
      <w:r>
        <w:rPr>
          <w:b/>
          <w:bCs/>
          <w:lang w:val="el" w:eastAsia="el"/>
        </w:rPr>
        <w:t>: Χανδρή 1 και Θεσσαλονίκης : 183 46, Μοσχάτο</w:t>
      </w:r>
    </w:p>
    <w:p>
      <w:pPr>
        <w:pStyle w:val="PreambelText"/>
        <w:spacing w:before="240" w:after="240"/>
        <w:rPr>
          <w:lang w:val="el" w:eastAsia="el"/>
        </w:rPr>
      </w:pPr>
      <w:r>
        <w:rPr>
          <w:b/>
          <w:bCs/>
          <w:lang w:val="el" w:eastAsia="el"/>
        </w:rPr>
        <w:t>: 210-4802164</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b/>
          <w:bCs/>
          <w:lang w:val="el" w:eastAsia="el"/>
        </w:rPr>
        <w:t>Url :</w:t>
      </w:r>
      <w:hyperlink r:id="rId7"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Παράταση των προθεσμιών εκπλήρωσης των δηλωτικών φορολογικών υποχρεώσεων, ΦΠΑ, τελών και λοιπών έμμεσων φόρων, παρακρατούμενων φόρων, φορολογιών κεφαλαίου για τους υποκείμενους στον φόρο που έχουν την έδρα ή υποκατάστημα της επιχειρηματικής τους δραστηριότητας ή την κατοικία τους στις περιοχές της Περιφέρειας Αττικής που επλήγησαν από πυρκαγιές της 11</w:t>
      </w:r>
      <w:r>
        <w:rPr>
          <w:b/>
          <w:bCs/>
          <w:sz w:val="30"/>
          <w:szCs w:val="30"/>
          <w:vertAlign w:val="superscript"/>
          <w:lang w:val="el" w:eastAsia="el"/>
        </w:rPr>
        <w:t>ης</w:t>
      </w:r>
      <w:r>
        <w:rPr>
          <w:b/>
          <w:bCs/>
          <w:lang w:val="el" w:eastAsia="el"/>
        </w:rPr>
        <w:t xml:space="preserve"> και 12</w:t>
      </w:r>
      <w:r>
        <w:rPr>
          <w:b/>
          <w:bCs/>
          <w:sz w:val="30"/>
          <w:szCs w:val="30"/>
          <w:vertAlign w:val="superscript"/>
          <w:lang w:val="el" w:eastAsia="el"/>
        </w:rPr>
        <w:t>ης</w:t>
      </w:r>
      <w:r>
        <w:rPr>
          <w:b/>
          <w:bCs/>
          <w:lang w:val="el" w:eastAsia="el"/>
        </w:rPr>
        <w:t xml:space="preserve"> Αυγούστου 2024.</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 34),</w:t>
      </w:r>
    </w:p>
    <w:p>
      <w:pPr>
        <w:pStyle w:val="PreambelText"/>
        <w:spacing w:before="240" w:after="240"/>
        <w:rPr>
          <w:lang w:val="el" w:eastAsia="el"/>
        </w:rPr>
      </w:pPr>
      <w:r>
        <w:rPr>
          <w:b/>
          <w:bCs/>
          <w:lang w:val="el" w:eastAsia="el"/>
        </w:rPr>
        <w:t>β. του Κώδικα Φορολογικής Διαδικασίας και άλλες διατάξεις (ΚΦΔ) (ν. 5104/2024, Α΄58) και ιδίως των άρθρων 7 παρ.1, 19, 22, 36 παρ.2, 41 και 83 παρ.5 και παρ. 20 αυτού,</w:t>
      </w:r>
    </w:p>
    <w:p>
      <w:pPr>
        <w:pStyle w:val="PreambelText"/>
        <w:spacing w:before="240" w:after="240"/>
        <w:rPr>
          <w:lang w:val="el" w:eastAsia="el"/>
        </w:rPr>
      </w:pPr>
      <w:r>
        <w:rPr>
          <w:b/>
          <w:bCs/>
          <w:lang w:val="el" w:eastAsia="el"/>
        </w:rPr>
        <w:t>γ. της περ.β΄της παρ.4 του άρθρου 36 και της περ. β΄ της παρ. 12 του άρθρου 38 του Κώδικα Φόρου Προστιθέμενης Αξίας (ν. 2859/2000, Α΄248),</w:t>
      </w:r>
    </w:p>
    <w:p>
      <w:pPr>
        <w:pStyle w:val="PreambelText"/>
        <w:spacing w:before="240" w:after="240"/>
        <w:rPr>
          <w:lang w:val="el" w:eastAsia="el"/>
        </w:rPr>
      </w:pPr>
      <w:r>
        <w:rPr>
          <w:b/>
          <w:bCs/>
          <w:lang w:val="el" w:eastAsia="el"/>
        </w:rPr>
        <w:t>δ. των άρθρων 17-31 του ν.1676/1986 «Καθορισμός των συντελεστών του φόρου προστιθέμενης αξίας και ρύθμιση άλλων θεμάτων.» (Α΄204),</w:t>
      </w:r>
    </w:p>
    <w:p>
      <w:pPr>
        <w:pStyle w:val="PreambelText"/>
        <w:spacing w:before="240" w:after="240"/>
        <w:rPr>
          <w:lang w:val="el" w:eastAsia="el"/>
        </w:rPr>
      </w:pPr>
      <w:r>
        <w:rPr>
          <w:b/>
          <w:bCs/>
          <w:lang w:val="el" w:eastAsia="el"/>
        </w:rPr>
        <w:t>ε. των άρθρων 60, 64 και 69 του ν.4172/2013 «Φορολογία Εισοδήματος, επείγοντα μέτρα εφαρμογής του ν.4046/2012, του ν.4093/2012 και του ν. 4127/2013 και άλλες διατάξεις» (Α΄167),</w:t>
      </w:r>
    </w:p>
    <w:p>
      <w:pPr>
        <w:pStyle w:val="PreambelText"/>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ο οποίος κυρώθηκε με το πρώτο άρθρο του ν. 2961/2001 (Α’ 266), ζ. του α.ν. 1521/1950 « Περί φόρου μεταβιβάσεως ακινήτων» (Α΄245), ο οποίος κυρώθηκε με το πρώτο άρθρο του ν. 1587/1950 (Α΄294),</w:t>
      </w:r>
    </w:p>
    <w:p>
      <w:pPr>
        <w:pStyle w:val="PreambelText"/>
        <w:spacing w:before="240" w:after="240"/>
        <w:rPr>
          <w:lang w:val="el" w:eastAsia="el"/>
        </w:rPr>
      </w:pPr>
      <w:r>
        <w:rPr>
          <w:b/>
          <w:bCs/>
          <w:lang w:val="el" w:eastAsia="el"/>
        </w:rPr>
        <w:t>η. του άρθρου 23 του ν.3427/2005 «Φόρος προστιθέμενης αξίας στις νέες οικοδομές, μεταβολές στη φορολογία κεφαλαίου και άλλες διατάξεις» (Α΄ 312),</w:t>
      </w:r>
    </w:p>
    <w:p>
      <w:pPr>
        <w:pStyle w:val="PreambelText"/>
        <w:spacing w:before="240" w:after="240"/>
        <w:rPr>
          <w:lang w:val="el" w:eastAsia="el"/>
        </w:rPr>
      </w:pPr>
      <w:r>
        <w:rPr>
          <w:b/>
          <w:bCs/>
          <w:lang w:val="el" w:eastAsia="el"/>
        </w:rPr>
        <w:t>θ. των άρθρων 53, 54 και 55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ι. του άρθρου 1 του ν. 339/1976 «Περί επιβολής υπέρ δήμων και κοινοτήτων τέλους διαμονής παρεπιδημούντων, επί των εκδιδομένων λογαριασμών και επί των λουομένων εις φυσικάς ιαματικάς πηγάς.» (Α' 136),</w:t>
      </w:r>
    </w:p>
    <w:p>
      <w:pPr>
        <w:pStyle w:val="PreambelText"/>
        <w:spacing w:before="240" w:after="240"/>
        <w:rPr>
          <w:lang w:val="el" w:eastAsia="el"/>
        </w:rPr>
      </w:pPr>
      <w:r>
        <w:rPr>
          <w:b/>
          <w:bCs/>
          <w:lang w:val="el" w:eastAsia="el"/>
        </w:rPr>
        <w:t>ια. του π.δ. 28/28-7-1931 «Περί κώδικος των νόμων περί τελών χαρτοσήμου. » (Α΄239)¨</w:t>
      </w:r>
    </w:p>
    <w:p>
      <w:pPr>
        <w:pStyle w:val="PreambelText"/>
        <w:spacing w:before="240" w:after="240"/>
        <w:rPr>
          <w:lang w:val="el" w:eastAsia="el"/>
        </w:rPr>
      </w:pPr>
      <w:r>
        <w:rPr>
          <w:b/>
          <w:bCs/>
          <w:lang w:val="el" w:eastAsia="el"/>
        </w:rPr>
        <w:t>ιβ. του άρθρου 17 του ν.3833/2010 «Προστασία της εθνικής οικονομίας - Επείγοντα μέτρα για την αντιμετώπιση της δημοσιονομικής κρίσης» (Α’ 40),</w:t>
      </w:r>
    </w:p>
    <w:p>
      <w:pPr>
        <w:pStyle w:val="PreambelText"/>
        <w:spacing w:before="240" w:after="240"/>
        <w:rPr>
          <w:lang w:val="el" w:eastAsia="el"/>
        </w:rPr>
      </w:pPr>
      <w:r>
        <w:rPr>
          <w:b/>
          <w:bCs/>
          <w:lang w:val="el" w:eastAsia="el"/>
        </w:rPr>
        <w:t>ιγ. του άρθρου 50 του ν.4002/2011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(Α’180),</w:t>
      </w:r>
    </w:p>
    <w:p>
      <w:pPr>
        <w:pStyle w:val="PreambelText"/>
        <w:spacing w:before="240" w:after="240"/>
        <w:rPr>
          <w:lang w:val="el" w:eastAsia="el"/>
        </w:rPr>
      </w:pPr>
      <w:r>
        <w:rPr>
          <w:b/>
          <w:bCs/>
          <w:lang w:val="el" w:eastAsia="el"/>
        </w:rPr>
        <w:t>ιδ. του άρθρου 12 του ν. 2579/1998 «Φορολογικές διαρρυθμίσεις και άλλες διατάξεις» (Α’ 31),</w:t>
      </w:r>
    </w:p>
    <w:p>
      <w:pPr>
        <w:pStyle w:val="PreambelText"/>
        <w:spacing w:before="240" w:after="240"/>
        <w:rPr>
          <w:lang w:val="el" w:eastAsia="el"/>
        </w:rPr>
      </w:pPr>
      <w:r>
        <w:rPr>
          <w:b/>
          <w:bCs/>
          <w:lang w:val="el" w:eastAsia="el"/>
        </w:rPr>
        <w:t>ιε. του άρθρου 79 και 80 του ν. 4819/2021 «Ολοκληρωμένο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 (Α’ 129),</w:t>
      </w:r>
    </w:p>
    <w:p>
      <w:pPr>
        <w:pStyle w:val="PreambelText"/>
        <w:spacing w:before="240" w:after="240"/>
        <w:rPr>
          <w:lang w:val="el" w:eastAsia="el"/>
        </w:rPr>
      </w:pPr>
      <w:r>
        <w:rPr>
          <w:b/>
          <w:bCs/>
          <w:lang w:val="el" w:eastAsia="el"/>
        </w:rPr>
        <w:t>ιστ. του άρθρου 4 του ν. 4736/2020 «Ενσωμάτωση της οδηγίας (ΕΕ) 2019/904 σχετικά με τη μείωση των επιπτώσεων ορισμένων πλαστικών προϊόντων στο περιβάλλον και λοιπές διατάξεις.» (Α΄200) και</w:t>
      </w:r>
    </w:p>
    <w:p>
      <w:pPr>
        <w:pStyle w:val="PreambelText"/>
        <w:spacing w:before="240" w:after="240"/>
        <w:rPr>
          <w:lang w:val="el" w:eastAsia="el"/>
        </w:rPr>
      </w:pPr>
      <w:r>
        <w:rPr>
          <w:b/>
          <w:bCs/>
          <w:lang w:val="el" w:eastAsia="el"/>
        </w:rPr>
        <w:t>ιζ. το Κεφάλαιο Α’ «Σύσταση Ανεξάρτητης Αρχής Δημοσίων Εσόδων» του Μέρους Πρώτου του ν. 4389/2016 (Α’ 94) και ειδικότερα το άρθρο 7, την παρ. 1 του άρθρου 14 και το άρθρο 41 αυτού.</w:t>
      </w:r>
    </w:p>
    <w:p>
      <w:pPr>
        <w:pStyle w:val="PreambelText"/>
        <w:spacing w:before="240" w:after="240"/>
        <w:rPr>
          <w:lang w:val="el" w:eastAsia="el"/>
        </w:rPr>
      </w:pPr>
      <w:r>
        <w:rPr>
          <w:b/>
          <w:bCs/>
          <w:lang w:val="el" w:eastAsia="el"/>
        </w:rPr>
        <w:t xml:space="preserve">2. </w:t>
      </w:r>
      <w:r>
        <w:rPr>
          <w:b/>
          <w:bCs/>
          <w:lang w:val="el" w:eastAsia="el"/>
        </w:rPr>
        <w:t>Την υπό στοιχεία Α.1222/2020 κοινή απόφαση του Υφυπουργού Οικονομικών και του Διοικητή της Α.Α.Δ.Ε.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 (Β’ 4274).</w:t>
      </w:r>
    </w:p>
    <w:p>
      <w:pPr>
        <w:pStyle w:val="PreambelText"/>
        <w:spacing w:before="240" w:after="240"/>
        <w:rPr>
          <w:lang w:val="el" w:eastAsia="el"/>
        </w:rPr>
      </w:pPr>
      <w:r>
        <w:rPr>
          <w:b/>
          <w:bCs/>
          <w:lang w:val="el" w:eastAsia="el"/>
        </w:rPr>
        <w:t xml:space="preserve">3.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pStyle w:val="PreambelText"/>
        <w:spacing w:before="240" w:after="240"/>
        <w:rPr>
          <w:lang w:val="el" w:eastAsia="el"/>
        </w:rPr>
      </w:pPr>
      <w:r>
        <w:rPr>
          <w:b/>
          <w:bCs/>
          <w:lang w:val="el" w:eastAsia="el"/>
        </w:rPr>
        <w:t xml:space="preserve">4.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PreambelText"/>
        <w:spacing w:before="240" w:after="240"/>
        <w:rPr>
          <w:lang w:val="el" w:eastAsia="el"/>
        </w:rPr>
      </w:pPr>
      <w:r>
        <w:rPr>
          <w:b/>
          <w:bCs/>
          <w:lang w:val="el" w:eastAsia="el"/>
        </w:rPr>
        <w:t xml:space="preserve">5. </w:t>
      </w:r>
      <w:r>
        <w:rPr>
          <w:b/>
          <w:bCs/>
          <w:lang w:val="el" w:eastAsia="el"/>
        </w:rPr>
        <w:t>Την υπό στοιχεία ΠΟΛ.1027/2014 απόφαση του Γενικού Γραμματέα Δημοσίων Εσόδων του Υπουργείου Οικονομικών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pStyle w:val="PreambelText"/>
        <w:spacing w:before="240" w:after="240"/>
        <w:rPr>
          <w:lang w:val="el" w:eastAsia="el"/>
        </w:rPr>
      </w:pPr>
      <w:r>
        <w:rPr>
          <w:b/>
          <w:bCs/>
          <w:lang w:val="el" w:eastAsia="el"/>
        </w:rPr>
        <w:t xml:space="preserve">6. </w:t>
      </w:r>
      <w:r>
        <w:rPr>
          <w:b/>
          <w:bCs/>
          <w:lang w:val="el" w:eastAsia="el"/>
        </w:rPr>
        <w:t>Την υπό στοιχεία ΠΟΛ 1028/2014 απόφαση του Γενικού Γραμματέα Δημοσίων Εσόδων του Υπουργείου Οικονομικών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pStyle w:val="PreambelText"/>
        <w:spacing w:before="240" w:after="240"/>
        <w:rPr>
          <w:lang w:val="el" w:eastAsia="el"/>
        </w:rPr>
      </w:pPr>
      <w:r>
        <w:rPr>
          <w:b/>
          <w:bCs/>
          <w:lang w:val="el" w:eastAsia="el"/>
        </w:rPr>
        <w:t xml:space="preserve">7.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 949).</w:t>
      </w:r>
    </w:p>
    <w:p>
      <w:pPr>
        <w:pStyle w:val="PreambelText"/>
        <w:spacing w:before="240" w:after="240"/>
        <w:rPr>
          <w:lang w:val="el" w:eastAsia="el"/>
        </w:rPr>
      </w:pPr>
      <w:r>
        <w:rPr>
          <w:b/>
          <w:bCs/>
          <w:lang w:val="el" w:eastAsia="el"/>
        </w:rPr>
        <w:t xml:space="preserve">8.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pStyle w:val="PreambelText"/>
        <w:spacing w:before="240" w:after="240"/>
        <w:rPr>
          <w:lang w:val="el" w:eastAsia="el"/>
        </w:rPr>
      </w:pPr>
      <w:r>
        <w:rPr>
          <w:b/>
          <w:bCs/>
          <w:lang w:val="el" w:eastAsia="el"/>
        </w:rPr>
        <w:t xml:space="preserve">9. </w:t>
      </w:r>
      <w:r>
        <w:rPr>
          <w:b/>
          <w:bCs/>
          <w:lang w:val="el" w:eastAsia="el"/>
        </w:rPr>
        <w:t>Την υπό στοιχεία Α.1101/2019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pStyle w:val="PreambelText"/>
        <w:spacing w:before="240" w:after="240"/>
        <w:rPr>
          <w:lang w:val="el" w:eastAsia="el"/>
        </w:rPr>
      </w:pPr>
      <w:r>
        <w:rPr>
          <w:b/>
          <w:bCs/>
          <w:lang w:val="el" w:eastAsia="el"/>
        </w:rPr>
        <w:t xml:space="preserve">10. </w:t>
      </w:r>
      <w:r>
        <w:rPr>
          <w:b/>
          <w:bCs/>
          <w:lang w:val="el" w:eastAsia="el"/>
        </w:rPr>
        <w:t>Την υπό στοιχεία Α.1204/2020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αμοιβές πληρωμάτων εμπορικού ναυτικού» (Β' 3972)</w:t>
      </w:r>
    </w:p>
    <w:p>
      <w:pPr>
        <w:pStyle w:val="PreambelText"/>
        <w:spacing w:before="240" w:after="240"/>
        <w:rPr>
          <w:lang w:val="el" w:eastAsia="el"/>
        </w:rPr>
      </w:pPr>
      <w:r>
        <w:rPr>
          <w:b/>
          <w:bCs/>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12.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13. </w:t>
      </w:r>
      <w:r>
        <w:rPr>
          <w:b/>
          <w:bCs/>
          <w:lang w:val="el" w:eastAsia="el"/>
        </w:rPr>
        <w:t>Την υπό στοιχεία</w:t>
      </w:r>
      <w:r>
        <w:rPr>
          <w:rStyle w:val="link"/>
          <w:b/>
          <w:bCs/>
          <w:lang w:val="el" w:eastAsia="el"/>
        </w:rPr>
        <w:t xml:space="preserve"> Δ6Α </w:t>
      </w:r>
      <w:r>
        <w:rPr>
          <w:rStyle w:val="link"/>
          <w:b/>
          <w:bCs/>
          <w:lang w:val="el" w:eastAsia="el"/>
        </w:rPr>
        <w:t xml:space="preserve">1015213 </w:t>
      </w:r>
      <w:r>
        <w:rPr>
          <w:rStyle w:val="link"/>
          <w:b/>
          <w:bCs/>
          <w:lang w:val="el" w:eastAsia="el"/>
        </w:rPr>
        <w:t xml:space="preserve">ΕΞ </w:t>
      </w:r>
      <w:r>
        <w:rPr>
          <w:rStyle w:val="link"/>
          <w:b/>
          <w:bCs/>
          <w:lang w:val="el" w:eastAsia="el"/>
        </w:rPr>
        <w:t xml:space="preserve">2013/28.1.2013 </w:t>
      </w:r>
      <w:r>
        <w:rPr>
          <w:b/>
          <w:bCs/>
          <w:lang w:val="el" w:eastAsia="el"/>
        </w:rPr>
        <w:t>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υποπαρ. α' της</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41 </w:t>
      </w:r>
      <w:r>
        <w:rPr>
          <w:b/>
          <w:bCs/>
          <w:lang w:val="el" w:eastAsia="el"/>
        </w:rPr>
        <w:t>του ν.</w:t>
      </w:r>
      <w:r>
        <w:rPr>
          <w:rStyle w:val="link"/>
          <w:b/>
          <w:bCs/>
          <w:lang w:val="el" w:eastAsia="el"/>
        </w:rPr>
        <w:t>4389/2016.</w:t>
      </w:r>
    </w:p>
    <w:p>
      <w:pPr>
        <w:pStyle w:val="PreambelText"/>
        <w:spacing w:before="240" w:after="240"/>
        <w:rPr>
          <w:lang w:val="el" w:eastAsia="el"/>
        </w:rPr>
      </w:pPr>
      <w:r>
        <w:rPr>
          <w:b/>
          <w:bCs/>
          <w:lang w:val="el" w:eastAsia="el"/>
        </w:rPr>
        <w:t xml:space="preserve">14. </w:t>
      </w:r>
      <w:r>
        <w:rPr>
          <w:b/>
          <w:bCs/>
          <w:lang w:val="el" w:eastAsia="el"/>
        </w:rPr>
        <w:t>Την υπό στοιχεία A3692/13.08.2024 απόφαση του Γενικού Γραμματέα Πολιτικής Προστασίας για την κήρυξη σε κατάσταση Έκτακτης Ανάγκης Πολιτικής Προστασίας του Δήμου Βριλησσίων,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15. </w:t>
      </w:r>
      <w:r>
        <w:rPr>
          <w:b/>
          <w:bCs/>
          <w:lang w:val="el" w:eastAsia="el"/>
        </w:rPr>
        <w:t>Την υπό στοιχεία Α3687/13.08.2024 απόφαση του Γενικού Γραμματέα Πολιτικής Προστασίας για την κήρυξη σε κατάσταση Έκτακτης Ανάγκης Πολιτικής Προστασίας των Δημοτικών Ενοτήτων Μαραθώνος, Βαρνάβα και Γραμματικού του Δήμου Μαραθώνα,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16. </w:t>
      </w:r>
      <w:r>
        <w:rPr>
          <w:b/>
          <w:bCs/>
          <w:lang w:val="el" w:eastAsia="el"/>
        </w:rPr>
        <w:t>Την υπό στοιχεία A3677/13.08.2024 απόφαση του Γενικού Γραμματέα Πολιτικής Προστασίας για την κήρυξη σε κατάσταση Έκτακτης Ανάγκης Πολιτικής Προστασίας του Δήμου Χαλανδρίου,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17. </w:t>
      </w:r>
      <w:r>
        <w:rPr>
          <w:b/>
          <w:bCs/>
          <w:lang w:val="el" w:eastAsia="el"/>
        </w:rPr>
        <w:t>Την υπό στοιχεία A3676/13.08.2024 απόφαση του Γενικού Γραμματέα Πολιτικής Προστασίας για την κήρυξη σε κατάσταση Έκτακτης Ανάγκης Πολιτικής Προστασίας των Δημοτικών Ενοτήτων Αγίου Στεφάνου, Σταμάτας, Ροδόπολης και Διονύσου του Δήμου Διονύσου,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18. </w:t>
      </w:r>
      <w:r>
        <w:rPr>
          <w:b/>
          <w:bCs/>
          <w:lang w:val="el" w:eastAsia="el"/>
        </w:rPr>
        <w:t>Την υπό στοιχεία A3669/13.08.2024 απόφαση του Γενικού Γραμματέα Πολιτικής Προστασίας για την κήρυξη σε κατάσταση Έκτακτης Ανάγκης Πολιτικής Προστασίας του Δήμου Πεντέλης,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19. </w:t>
      </w:r>
      <w:r>
        <w:rPr>
          <w:b/>
          <w:bCs/>
          <w:lang w:val="el" w:eastAsia="el"/>
        </w:rPr>
        <w:t>Το υπό στοιχεία A3672/13.08.2024 έγγραφο του Γενικού Γραμματέα Πολιτικής Προστασίας με θέμα την κήρυξη σε κατάσταση Έκτακτης Ανάγκης Πολιτικής Προστασίας των Δημοτικών Ενοτήτων Αφιδνών, Πολυδενδρίου, Μαλακάσας και Καπανδριτίου του Δήμου Ωρωπού.</w:t>
      </w:r>
    </w:p>
    <w:p>
      <w:pPr>
        <w:pStyle w:val="PreambelText"/>
        <w:spacing w:before="240" w:after="240"/>
        <w:rPr>
          <w:lang w:val="el" w:eastAsia="el"/>
        </w:rPr>
      </w:pPr>
      <w:r>
        <w:rPr>
          <w:b/>
          <w:bCs/>
          <w:lang w:val="el" w:eastAsia="el"/>
        </w:rPr>
        <w:t xml:space="preserve">20. </w:t>
      </w:r>
      <w:r>
        <w:rPr>
          <w:b/>
          <w:bCs/>
          <w:lang w:val="el" w:eastAsia="el"/>
        </w:rPr>
        <w:t>Την ανάγκη εξυπηρέτησης και διευκόλυνσης για την υποβολή δηλώσεων και καταβολή φόρου από τους υπόχρεους που επλήγησαν λόγω των πυρκαγιών που εκδηλώθηκαν την 11</w:t>
      </w:r>
      <w:r>
        <w:rPr>
          <w:b/>
          <w:bCs/>
          <w:sz w:val="30"/>
          <w:szCs w:val="30"/>
          <w:vertAlign w:val="superscript"/>
          <w:lang w:val="el" w:eastAsia="el"/>
        </w:rPr>
        <w:t xml:space="preserve">η </w:t>
      </w:r>
      <w:r>
        <w:rPr>
          <w:b/>
          <w:bCs/>
          <w:lang w:val="el" w:eastAsia="el"/>
        </w:rPr>
        <w:t>και 12</w:t>
      </w:r>
      <w:r>
        <w:rPr>
          <w:b/>
          <w:bCs/>
          <w:sz w:val="30"/>
          <w:szCs w:val="30"/>
          <w:vertAlign w:val="superscript"/>
          <w:lang w:val="el" w:eastAsia="el"/>
        </w:rPr>
        <w:t>η</w:t>
      </w:r>
      <w:r>
        <w:rPr>
          <w:b/>
          <w:bCs/>
          <w:lang w:val="el" w:eastAsia="el"/>
        </w:rPr>
        <w:t xml:space="preserve"> Αυγούστου 2024 στις ανωτέρω Περιφερειακές Ενότητες της Περιφέρειας Αττικής και των εκτεταμένων ζημιών που προκλήθηκαν από αυτές και απορρυθμίστηκε η οικονομική και κοινωνική ζωή τους.</w:t>
      </w:r>
    </w:p>
    <w:p>
      <w:pPr>
        <w:pStyle w:val="PreambelText"/>
        <w:spacing w:before="240" w:after="240"/>
        <w:rPr>
          <w:lang w:val="el" w:eastAsia="el"/>
        </w:rPr>
      </w:pPr>
      <w:r>
        <w:rPr>
          <w:b/>
          <w:bCs/>
          <w:lang w:val="el" w:eastAsia="el"/>
        </w:rPr>
        <w:t xml:space="preserve">21. </w:t>
      </w:r>
      <w:r>
        <w:rPr>
          <w:b/>
          <w:bCs/>
          <w:lang w:val="el" w:eastAsia="el"/>
        </w:rPr>
        <w:t>Το γεγονός ότι από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Παράταση για ανακεφαλαιωτικούς πίνακες, δήλωση Φ.Π.Α., τέλη χαρτοσήμου και λοιπούς έμμεσους φόρους για τους υποκείμενους συγκεκριμένων περιφερειακών ενοτήτων.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Παρατείνεται μέχρι και την 30.9.2024 η προθεσμία υποβολής των ανακεφαλαιωτικών πινάκων, των οποίων η καταληκτική προθεσμία υποβολής είναι στις 26.8.2024 για υποκείμενους που έχουν την έδρα ή υποκατάστημα της επιχειρηματικής τους δραστηριότητας: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Δήμο Βριλησσίων, της Περιφερειακής Ενότητας Βόρειου Τομέα Αθηνών, της Περιφέρειας Αττικής,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Δημοτικές Ενότητες Μαραθώνος, Βαρνάβα, Γραμματικού και Νέας Μάκρης του Δήμου Μαραθώνα, της Περιφερειακής Ενότητας Ανατολικής Αττικής, της Περιφέρειας Αττικής,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Δήμο Χαλανδρίου, της Περιφερειακής Ενότητας Βόρειου Τομέα Αθηνών, της Περιφέρειας Αττικής,</w:t>
      </w:r>
    </w:p>
    <w:p>
      <w:pPr>
        <w:pStyle w:val="StructureList1"/>
        <w:spacing w:before="120" w:after="0"/>
        <w:rPr>
          <w:lang w:val="el" w:eastAsia="el"/>
        </w:rPr>
      </w:pPr>
      <w:r>
        <w:rPr>
          <w:b/>
          <w:bCs/>
          <w:lang w:val="el" w:eastAsia="el"/>
        </w:rPr>
        <w:t>δ)</w:t>
      </w:r>
      <w:r>
        <w:rPr>
          <w:b/>
          <w:bCs/>
          <w:lang w:val="en" w:eastAsia="en"/>
        </w:rPr>
        <w:tab/>
      </w:r>
      <w:r>
        <w:rPr>
          <w:b/>
          <w:bCs/>
          <w:lang w:val="el" w:eastAsia="el"/>
        </w:rPr>
        <w:t>στις Δημοτικές Ενοτήτες Αγίου Στεφάνου, Σταμάτας, Ροδόπολης &amp; Διονύσου του Δήμου Διονύσου, της Περιφερειακής Ενότητας Ανατολικής Αττικής, της Περιφέρειας Αττικής,</w:t>
      </w:r>
    </w:p>
    <w:p>
      <w:pPr>
        <w:pStyle w:val="StructureList1"/>
        <w:spacing w:before="120" w:after="0"/>
        <w:rPr>
          <w:lang w:val="el" w:eastAsia="el"/>
        </w:rPr>
      </w:pPr>
      <w:r>
        <w:rPr>
          <w:b/>
          <w:bCs/>
          <w:lang w:val="el" w:eastAsia="el"/>
        </w:rPr>
        <w:t>ε)</w:t>
      </w:r>
      <w:r>
        <w:rPr>
          <w:b/>
          <w:bCs/>
          <w:lang w:val="en" w:eastAsia="en"/>
        </w:rPr>
        <w:tab/>
      </w:r>
      <w:r>
        <w:rPr>
          <w:b/>
          <w:bCs/>
          <w:lang w:val="el" w:eastAsia="el"/>
        </w:rPr>
        <w:t>στον Δήμο Πεντέλης, της Περιφερειακής Ενότητας Βόρειου Τομέα Αθηνών, της Περιφέρειας Αττικής,</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Δημοτικές Ενότητες Αφιδνών, Πολυδενδρίου, Μαλακάσας και Καπανδριτίου του Δήμου Ωρωπού,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Παρατείνονται μέχρι και την 30.9.2024 για τους υποκειμένους της παρ. 1 η προθεσμία υποβολής των δηλώσεων ΦΠΑ, των οποίων η καταληκτική προθεσμία υποβολής είναι στις 30.8.2024 και η προθεσμία καταβολής του φόρου που τυχόν προκύπτει από αυτές μέχρι και 30.9.2024. Η ιδία ημερομηνία (30.9.2024) είναι καταληκτική και για τις δύο δόσεις στην περίπτωση επιλογής καταβολής του οφειλόμενου ποσού σε δόσεις.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Παρατείνεται μέχρι και την 30.9.2024 για τους υποκειμένους της παρ. 1 η προθεσμία υποβολής δηλώσεων και απόδοσης των τελών χαρτοσήμου και των λοιπών εμμέσων φόρων,</w:t>
      </w:r>
    </w:p>
    <w:p>
      <w:pPr>
        <w:spacing w:before="240" w:after="240"/>
        <w:rPr>
          <w:lang w:val="el" w:eastAsia="el"/>
        </w:rPr>
      </w:pPr>
      <w:r>
        <w:rPr>
          <w:b/>
          <w:bCs/>
          <w:lang w:val="el" w:eastAsia="el"/>
        </w:rPr>
        <w:t>τελών και εισφορών υπέρ του Δημοσίου ή τρίτων που έχουν καταληκτική ημερομηνία από 11.8.2024 έως την 2.9.2024.</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ανωτέρω δηλώσεις καθώς και οι ανακεφαλαιωτικοί πίνακες ενδοκοινοτικών συναλλαγών υποβάλλονται, σύμφωνα με τις ισχύουσες αποφάσεις.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Παράταση για δήλωση απόδοσης παρακρατούμενων φόρων.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αρχικές δηλώσεις απόδοσης: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παρακρατούμενου φόρου στο εισόδημα από μισθωτή εργασία και συντάξεις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παρακρατούμενου φόρου των διατάξεων του άρθρου 64 και των περ. α' και γ' της παρ. 5 του άρθρου 69 του ν. 4172/2013, που έχουν καταληκτική ημερομηνία υποβολής την 2.9.2024 υποβάλλονται εμπρόθεσμα μέχρι και την 30.09.2024 για τους υπόχρεους υποβολής που έχουν την έδρα ή υποκατάστημα της επιχειρηματικής τους δραστηριότητας στις περιοχές της παρ.1 του άρθρου 1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δηλώσεις υποβάλλονται ψηφιακά, σύμφωνα με τις ισχύουσες αποφάσεις.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Παράταση υποβολής δηλώσεων φόρου κληρονομιών, δωρεών, γονικών παροχών, κερδών από τυχερά παίγνια, μεταβίβασης ακινήτων και στοιχείων ακινήτων (Ε9).</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δηλώσεις των φυσικών και νομικών προσώπων και οντοτήτων, που έχουν την κύρια κατοικία ή κύρια εγκατάσταση (έδρα) στις περιοχές της παρ. 1 του άρθρου 1, για την απόδοση φόρων κληρονομιών, δωρεών, γονικών παροχών, κερδών από τυχερά παίγνια και μεταβίβασης ακινήτων που έχουν καταληκτική ημερομηνία από την 12.8.2024 υποβάλλονται εμπρόθεσμα, σε έντυπη μορφή είτε μέσω της εφαρμογής «Τα Αιτήματά μου», είτε με τη διαδικασία που καθορίζεται στην υπό στοιχεία Α. 1137/2020 απόφαση του Διοικητή της ΑΑΔΕ, όπως ισχύει μετά την Α. 1054/2022 απόφαση Διοικητή ΑΑΔΕ, μέχρι και την 30.9.2024.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δηλώσεις στοιχείων ακινήτων (Ε9) των φυσικών και νομικών προσώπων και οντοτήτων, που έχουν την κύρια κατοικία ή κύρια εγκατάσταση (έδρα) στις περιοχές της παρ. 1 του άρθρου 1 της παρούσας, οι οποίες έχουν καταληκτική ημερομηνία από την 12.8.2024 υποβάλλονται εμπρόθεσμα μέχρι και την 30.9.2024. Οι ανωτέρω δηλώσεις υποβάλλονται σύμφωνα με τις ισχύουσες αποφάσεις.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sz w:val="30"/>
          <w:szCs w:val="30"/>
          <w:vertAlign w:val="superscript"/>
          <w:lang w:val="el" w:eastAsia="el"/>
        </w:rPr>
        <w:t>6</w:t>
      </w:r>
      <w:r>
        <w:rPr>
          <w:b/>
          <w:bCs/>
          <w:lang w:val="el" w:eastAsia="el"/>
        </w:rPr>
        <w:t xml:space="preserve">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9"/>
        <w:gridCol w:w="999"/>
        <w:gridCol w:w="999"/>
        <w:gridCol w:w="519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13,19,20.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w:t>
      </w:r>
    </w:p>
    <w:p>
      <w:pPr>
        <w:spacing w:before="240" w:after="240"/>
        <w:rPr>
          <w:lang w:val="el" w:eastAsia="el"/>
        </w:rPr>
      </w:pPr>
      <w:r>
        <w:rPr>
          <w:b/>
          <w:bCs/>
          <w:lang w:val="el" w:eastAsia="el"/>
        </w:rPr>
        <w:t>Α΄ μόνο οι αριθμ. 1 και 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Εφαρμογής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hyperlink" Target="mailto:defk@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