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1.ΥΠΟΥΡΓΕΙΟ ΕΘΝΙΚΗΣ ΟΙΚΟΝΟΜΙΑΣ ΚΑΙ</w:t>
      </w:r>
    </w:p>
    <w:p>
      <w:pPr>
        <w:pStyle w:val="Title"/>
        <w:spacing w:before="120" w:after="360"/>
        <w:rPr>
          <w:lang w:val="el" w:eastAsia="el"/>
        </w:rPr>
      </w:pPr>
      <w:r>
        <w:rPr>
          <w:b/>
          <w:bCs/>
          <w:lang w:val="el" w:eastAsia="el"/>
        </w:rPr>
        <w:t>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Α.ΓΕΝΙΚΗ ΔΙΕΥΘΥΝΣΗ ΦΟΡΟΛΟΓΙΑΣ</w:t>
      </w:r>
    </w:p>
    <w:p>
      <w:pPr>
        <w:pStyle w:val="PreambelText"/>
        <w:spacing w:before="240" w:after="240"/>
        <w:rPr>
          <w:lang w:val="el" w:eastAsia="el"/>
        </w:rPr>
      </w:pPr>
      <w:r>
        <w:rPr>
          <w:b/>
          <w:bCs/>
          <w:lang w:val="el" w:eastAsia="el"/>
        </w:rPr>
        <w:t>ΑΔΑ: 9ΗΚΣ46ΜΠ3Ζ-ΞΑΒ</w:t>
      </w:r>
    </w:p>
    <w:p>
      <w:pPr>
        <w:pStyle w:val="PreambelText"/>
        <w:spacing w:before="240" w:after="240"/>
        <w:rPr>
          <w:lang w:val="el" w:eastAsia="el"/>
        </w:rPr>
      </w:pPr>
      <w:r>
        <w:rPr>
          <w:b/>
          <w:bCs/>
          <w:lang w:val="el" w:eastAsia="el"/>
        </w:rPr>
        <w:t>Αριθ. ΦΕΚ: Β΄5162 /12.09.2024</w:t>
      </w:r>
    </w:p>
    <w:p>
      <w:pPr>
        <w:pStyle w:val="PreambelText"/>
        <w:spacing w:before="240" w:after="240"/>
        <w:rPr>
          <w:lang w:val="el" w:eastAsia="el"/>
        </w:rPr>
      </w:pPr>
      <w:r>
        <w:rPr>
          <w:b/>
          <w:bCs/>
          <w:lang w:val="el" w:eastAsia="el"/>
        </w:rPr>
        <w:t>Αθήνα, 30 Αυγούστου 2024</w:t>
      </w:r>
    </w:p>
    <w:p>
      <w:pPr>
        <w:pStyle w:val="PreambelText"/>
        <w:spacing w:before="240" w:after="240"/>
        <w:rPr>
          <w:lang w:val="el" w:eastAsia="el"/>
        </w:rPr>
      </w:pPr>
      <w:r>
        <w:rPr>
          <w:b/>
          <w:bCs/>
          <w:lang w:val="el" w:eastAsia="el"/>
        </w:rPr>
        <w:t>Α.1138</w:t>
      </w:r>
    </w:p>
    <w:p>
      <w:pPr>
        <w:pStyle w:val="PreambelText"/>
        <w:spacing w:before="240" w:after="240"/>
        <w:rPr>
          <w:lang w:val="el" w:eastAsia="el"/>
        </w:rPr>
      </w:pPr>
      <w:r>
        <w:rPr>
          <w:b/>
          <w:bCs/>
          <w:lang w:val="el" w:eastAsia="el"/>
        </w:rPr>
        <w:t>Πειραιώς 180</w:t>
      </w:r>
    </w:p>
    <w:p>
      <w:pPr>
        <w:pStyle w:val="PreambelText"/>
        <w:spacing w:before="240" w:after="240"/>
        <w:rPr>
          <w:lang w:val="el" w:eastAsia="el"/>
        </w:rPr>
      </w:pPr>
      <w:r>
        <w:rPr>
          <w:b/>
          <w:bCs/>
          <w:lang w:val="el" w:eastAsia="el"/>
        </w:rPr>
        <w:t>17778 213-1410108</w:t>
      </w:r>
    </w:p>
    <w:p>
      <w:pPr>
        <w:pStyle w:val="PreambelText"/>
        <w:spacing w:before="240" w:after="240"/>
        <w:rPr>
          <w:lang w:val="el" w:eastAsia="el"/>
        </w:rPr>
      </w:pP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Β. ΓΕΝΙΚΗ Δ/ΝΣΗ ΗΛΕΚΤΡΟΝΙΚΗΣ ΔΙΑΚΥΒΕΡΝΗΣΗΣ 1. ΔΙΕΥΘΥΝΣΗ ΕΠΙΧΕΙΡΗΣΙΑΚΩΝ ΔΙΑΔΙΚΑΣΙΩΝ ΥΠΟΔΙΕΥΘΥΝΣΗ Α΄ ΤΜΗΜΑ Β΄</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 ΤΜΗΜΑ Γ΄</w:t>
      </w:r>
    </w:p>
    <w:p>
      <w:pPr>
        <w:pStyle w:val="PreambelText"/>
        <w:spacing w:before="240" w:after="240"/>
        <w:rPr>
          <w:lang w:val="el" w:eastAsia="el"/>
        </w:rPr>
      </w:pPr>
      <w:r>
        <w:rPr>
          <w:b/>
          <w:bCs/>
          <w:lang w:val="el" w:eastAsia="el"/>
        </w:rPr>
        <w:t>Θέμα: Τροποποίηση της υπό στοιχεία ΠΟΛ. 1140/2006 απόφασης Υπουργού Οικονομίας και Οικονομικών με θέμα «Δικαιολογητικά εξόφλησης τίτλων πληρωμής ή επιστροφής - εξόφληση με εντολή μεταφοράς - ρυθμίσεις θεμάτων εξόφλησης τίτλων πληρωμής ή επιστροφής» (Β' 1862).</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ΕΘΝΙΚΗΣ ΟΙΚΟΝΟΜΙΑΣΚΑΙ ΟΙΚΟΝΟΜΙΚΩΝ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Την</w:t>
      </w:r>
      <w:r>
        <w:rPr>
          <w:rStyle w:val="link"/>
          <w:b/>
          <w:bCs/>
          <w:lang w:val="el" w:eastAsia="el"/>
        </w:rPr>
        <w:t xml:space="preserve"> παρ. </w:t>
      </w:r>
      <w:r>
        <w:rPr>
          <w:rStyle w:val="link"/>
          <w:b/>
          <w:bCs/>
          <w:lang w:val="el" w:eastAsia="el"/>
        </w:rPr>
        <w:t xml:space="preserve">3 </w:t>
      </w:r>
      <w:r>
        <w:rPr>
          <w:rStyle w:val="link"/>
          <w:b/>
          <w:bCs/>
          <w:lang w:val="el" w:eastAsia="el"/>
        </w:rPr>
        <w:t xml:space="preserve">του άρθρου </w:t>
      </w:r>
      <w:r>
        <w:rPr>
          <w:rStyle w:val="link"/>
          <w:b/>
          <w:bCs/>
          <w:lang w:val="el" w:eastAsia="el"/>
        </w:rPr>
        <w:t>92</w:t>
      </w:r>
      <w:r>
        <w:rPr>
          <w:b/>
          <w:bCs/>
          <w:lang w:val="el" w:eastAsia="el"/>
        </w:rPr>
        <w:t>, την</w:t>
      </w:r>
      <w:r>
        <w:rPr>
          <w:rStyle w:val="link"/>
          <w:b/>
          <w:bCs/>
          <w:lang w:val="el" w:eastAsia="el"/>
        </w:rPr>
        <w:t xml:space="preserve"> παρ. </w:t>
      </w:r>
      <w:r>
        <w:rPr>
          <w:rStyle w:val="link"/>
          <w:b/>
          <w:bCs/>
          <w:lang w:val="el" w:eastAsia="el"/>
        </w:rPr>
        <w:t xml:space="preserve">1 </w:t>
      </w:r>
      <w:r>
        <w:rPr>
          <w:rStyle w:val="link"/>
          <w:b/>
          <w:bCs/>
          <w:lang w:val="el" w:eastAsia="el"/>
        </w:rPr>
        <w:t xml:space="preserve">του άρθρου </w:t>
      </w:r>
      <w:r>
        <w:rPr>
          <w:rStyle w:val="link"/>
          <w:b/>
          <w:bCs/>
          <w:lang w:val="el" w:eastAsia="el"/>
        </w:rPr>
        <w:t xml:space="preserve">93 </w:t>
      </w:r>
      <w:r>
        <w:rPr>
          <w:b/>
          <w:bCs/>
          <w:lang w:val="el" w:eastAsia="el"/>
        </w:rPr>
        <w:t>και το</w:t>
      </w:r>
      <w:r>
        <w:rPr>
          <w:rStyle w:val="link"/>
          <w:b/>
          <w:bCs/>
          <w:lang w:val="el" w:eastAsia="el"/>
        </w:rPr>
        <w:t xml:space="preserve"> άρθρο </w:t>
      </w:r>
      <w:r>
        <w:rPr>
          <w:rStyle w:val="link"/>
          <w:b/>
          <w:bCs/>
          <w:lang w:val="el" w:eastAsia="el"/>
        </w:rPr>
        <w:t xml:space="preserve">95 </w:t>
      </w:r>
      <w:r>
        <w:rPr>
          <w:b/>
          <w:bCs/>
          <w:lang w:val="el" w:eastAsia="el"/>
        </w:rPr>
        <w:t>του ν.</w:t>
      </w:r>
      <w:r>
        <w:rPr>
          <w:rStyle w:val="link"/>
          <w:b/>
          <w:bCs/>
          <w:lang w:val="el" w:eastAsia="el"/>
        </w:rPr>
        <w:t xml:space="preserve">4270/2014 </w:t>
      </w:r>
      <w:r>
        <w:rPr>
          <w:b/>
          <w:bCs/>
          <w:lang w:val="el" w:eastAsia="el"/>
        </w:rPr>
        <w:t>«Αρχές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b/>
          <w:bCs/>
          <w:lang w:val="el" w:eastAsia="el"/>
        </w:rPr>
        <w:t xml:space="preserve">2. </w:t>
      </w:r>
      <w:r>
        <w:rPr>
          <w:b/>
          <w:bCs/>
          <w:lang w:val="el" w:eastAsia="el"/>
        </w:rPr>
        <w:t>Το άρθρο 42 του Κώδικα Φορολογικής Διαδικασίας (ν. 5104/2024, Α΄58), εφεξής ΚΦΔ.</w:t>
      </w:r>
    </w:p>
    <w:p>
      <w:pPr>
        <w:pStyle w:val="PreambelText"/>
        <w:spacing w:before="240" w:after="240"/>
        <w:rPr>
          <w:lang w:val="el" w:eastAsia="el"/>
        </w:rPr>
      </w:pPr>
      <w:r>
        <w:rPr>
          <w:b/>
          <w:bCs/>
          <w:lang w:val="el" w:eastAsia="el"/>
        </w:rPr>
        <w:t xml:space="preserve">3. </w:t>
      </w:r>
      <w:r>
        <w:rPr>
          <w:b/>
          <w:bCs/>
          <w:lang w:val="el" w:eastAsia="el"/>
        </w:rPr>
        <w:t>Το</w:t>
      </w:r>
      <w:r>
        <w:rPr>
          <w:rStyle w:val="link"/>
          <w:b/>
          <w:bCs/>
          <w:lang w:val="el" w:eastAsia="el"/>
        </w:rPr>
        <w:t xml:space="preserve"> άρθρο </w:t>
      </w:r>
      <w:r>
        <w:rPr>
          <w:rStyle w:val="link"/>
          <w:b/>
          <w:bCs/>
          <w:lang w:val="el" w:eastAsia="el"/>
        </w:rPr>
        <w:t xml:space="preserve">3 </w:t>
      </w:r>
      <w:r>
        <w:rPr>
          <w:b/>
          <w:bCs/>
          <w:lang w:val="el" w:eastAsia="el"/>
        </w:rPr>
        <w:t>του α.ν.</w:t>
      </w:r>
      <w:r>
        <w:rPr>
          <w:rStyle w:val="link"/>
          <w:b/>
          <w:bCs/>
          <w:lang w:val="el" w:eastAsia="el"/>
        </w:rPr>
        <w:t xml:space="preserve">1819/1951 </w:t>
      </w:r>
      <w:r>
        <w:rPr>
          <w:b/>
          <w:bCs/>
          <w:lang w:val="el" w:eastAsia="el"/>
        </w:rPr>
        <w:t>«Περί τρόπου διεξαγωγής των πάσης φύσεως συναλλαγών του Δημοσίου» (Α΄149).</w:t>
      </w:r>
    </w:p>
    <w:p>
      <w:pPr>
        <w:pStyle w:val="PreambelText"/>
        <w:spacing w:before="240" w:after="240"/>
        <w:rPr>
          <w:lang w:val="el" w:eastAsia="el"/>
        </w:rPr>
      </w:pPr>
      <w:r>
        <w:rPr>
          <w:b/>
          <w:bCs/>
          <w:lang w:val="el" w:eastAsia="el"/>
        </w:rPr>
        <w:t xml:space="preserve">4. </w:t>
      </w:r>
      <w:r>
        <w:rPr>
          <w:b/>
          <w:bCs/>
          <w:lang w:val="el" w:eastAsia="el"/>
        </w:rPr>
        <w:t>Το άρθρο 11 του ν.4557/2018 «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(Α΄139).</w:t>
      </w:r>
    </w:p>
    <w:p>
      <w:pPr>
        <w:pStyle w:val="PreambelText"/>
        <w:spacing w:before="240" w:after="240"/>
        <w:rPr>
          <w:lang w:val="el" w:eastAsia="el"/>
        </w:rPr>
      </w:pPr>
      <w:r>
        <w:rPr>
          <w:b/>
          <w:bCs/>
          <w:lang w:val="el" w:eastAsia="el"/>
        </w:rPr>
        <w:t xml:space="preserve">5. </w:t>
      </w:r>
      <w:r>
        <w:rPr>
          <w:b/>
          <w:bCs/>
          <w:lang w:val="el" w:eastAsia="el"/>
        </w:rPr>
        <w:t>Την υπό στοιχεία</w:t>
      </w:r>
      <w:r>
        <w:rPr>
          <w:rStyle w:val="link"/>
          <w:b/>
          <w:bCs/>
          <w:lang w:val="el" w:eastAsia="el"/>
        </w:rPr>
        <w:t xml:space="preserve"> ΠΟΛ.1140/08-12-2006 </w:t>
      </w:r>
      <w:r>
        <w:rPr>
          <w:b/>
          <w:bCs/>
          <w:lang w:val="el" w:eastAsia="el"/>
        </w:rPr>
        <w:t>και αριθ. πρωτ. 1109228/ 8434/ 0016/08.12.2006 Απόφασης του Υπουργού Οικονομίας και Οικονομικών «Δικαιολογητικά εξόφλησης τίτλων πληρωμής ή επιστροφής - εξόφληση με εντολή μεταφοράς - ρυθμίσεις θεμάτων εξόφλησης τίτλων πληρωμής ή επιστροφής» (Β΄1862).</w:t>
      </w:r>
    </w:p>
    <w:p>
      <w:pPr>
        <w:pStyle w:val="PreambelText"/>
        <w:spacing w:before="240" w:after="240"/>
        <w:rPr>
          <w:lang w:val="el" w:eastAsia="el"/>
        </w:rPr>
      </w:pPr>
      <w:r>
        <w:rPr>
          <w:b/>
          <w:bCs/>
          <w:lang w:val="el" w:eastAsia="el"/>
        </w:rPr>
        <w:t xml:space="preserve">6. </w:t>
      </w:r>
      <w:r>
        <w:rPr>
          <w:b/>
          <w:bCs/>
          <w:lang w:val="el" w:eastAsia="el"/>
        </w:rPr>
        <w:t>Την υπό στοιχεία ΠΟΛ. 1048/06.04.2016 του Αναπληρωτή Υπουργού Οικονομικών «Καθορισμός διαδικασίας ηλεκτρονικής έκδοσης και αποστολής εντολής μεταφοράς προς την Τράπεζα της Ελλάδος (ΤτΕ) για την πίστωση λογαριασμών των δικαιούχων σε Πιστωτικά Ιδρύματα» (Β΄1199).</w:t>
      </w:r>
    </w:p>
    <w:p>
      <w:pPr>
        <w:pStyle w:val="PreambelText"/>
        <w:spacing w:before="240" w:after="240"/>
        <w:rPr>
          <w:lang w:val="el" w:eastAsia="el"/>
        </w:rPr>
      </w:pPr>
      <w:r>
        <w:rPr>
          <w:b/>
          <w:bCs/>
          <w:lang w:val="el" w:eastAsia="el"/>
        </w:rPr>
        <w:t xml:space="preserve">7. </w:t>
      </w:r>
      <w:r>
        <w:rPr>
          <w:b/>
          <w:bCs/>
          <w:lang w:val="el" w:eastAsia="el"/>
        </w:rPr>
        <w:t>Το π.δ. 142/2017 «Οργανισμός Υπουργείου Οικονομικών» (Α΄ 181).</w:t>
      </w:r>
    </w:p>
    <w:p>
      <w:pPr>
        <w:pStyle w:val="PreambelText"/>
        <w:spacing w:before="240" w:after="240"/>
        <w:rPr>
          <w:lang w:val="el" w:eastAsia="el"/>
        </w:rPr>
      </w:pPr>
      <w:r>
        <w:rPr>
          <w:b/>
          <w:bCs/>
          <w:lang w:val="el" w:eastAsia="el"/>
        </w:rPr>
        <w:t xml:space="preserve">8. </w:t>
      </w:r>
      <w:r>
        <w:rPr>
          <w:b/>
          <w:bCs/>
          <w:lang w:val="el" w:eastAsia="el"/>
        </w:rPr>
        <w:t>Την υπό στοιχεία Δ. ΟΡΓ. Α 1125859 ΕΞ2020/23.10.2020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b/>
          <w:bCs/>
          <w:lang w:val="el" w:eastAsia="el"/>
        </w:rPr>
        <w:t xml:space="preserve">9. </w:t>
      </w:r>
      <w:r>
        <w:rPr>
          <w:b/>
          <w:bCs/>
          <w:lang w:val="el" w:eastAsia="el"/>
        </w:rPr>
        <w:t>Τo Κεφαλαίο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 xml:space="preserve">10.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 (Υ.Ο.Δ.Δ. 27).</w:t>
      </w:r>
    </w:p>
    <w:p>
      <w:pPr>
        <w:pStyle w:val="PreambelText"/>
        <w:spacing w:before="240" w:after="240"/>
        <w:rPr>
          <w:lang w:val="el" w:eastAsia="el"/>
        </w:rPr>
      </w:pPr>
      <w:r>
        <w:rPr>
          <w:b/>
          <w:bCs/>
          <w:lang w:val="el" w:eastAsia="el"/>
        </w:rPr>
        <w:t xml:space="preserve">11. </w:t>
      </w:r>
      <w:r>
        <w:rPr>
          <w:b/>
          <w:bCs/>
          <w:lang w:val="el" w:eastAsia="el"/>
        </w:rPr>
        <w:t>Το π.δ.79/2023 «Διορισμός Υπουργών, Αναπληρωτών Υπουργών και Υφυπουργών» (Α΄131).</w:t>
      </w:r>
    </w:p>
    <w:p>
      <w:pPr>
        <w:pStyle w:val="PreambelText"/>
        <w:spacing w:before="240" w:after="240"/>
        <w:rPr>
          <w:lang w:val="el" w:eastAsia="el"/>
        </w:rPr>
      </w:pPr>
      <w:r>
        <w:rPr>
          <w:b/>
          <w:bCs/>
          <w:lang w:val="el" w:eastAsia="el"/>
        </w:rPr>
        <w:t xml:space="preserve">12. </w:t>
      </w:r>
      <w:r>
        <w:rPr>
          <w:b/>
          <w:bCs/>
          <w:lang w:val="el" w:eastAsia="el"/>
        </w:rPr>
        <w:t>Το π.δ. 32/2024 «Διορισμός Υπουργών και Υφυπουργών» (Α΄91).</w:t>
      </w:r>
    </w:p>
    <w:p>
      <w:pPr>
        <w:pStyle w:val="PreambelText"/>
        <w:spacing w:before="240" w:after="240"/>
        <w:rPr>
          <w:lang w:val="el" w:eastAsia="el"/>
        </w:rPr>
      </w:pPr>
      <w:r>
        <w:rPr>
          <w:b/>
          <w:bCs/>
          <w:lang w:val="el" w:eastAsia="el"/>
        </w:rPr>
        <w:t xml:space="preserve">13. </w:t>
      </w:r>
      <w:r>
        <w:rPr>
          <w:b/>
          <w:bCs/>
          <w:lang w:val="el" w:eastAsia="el"/>
        </w:rPr>
        <w:t>Την υπό στοιχεία 84913 ΕΞ 2024/17.6.2024 κοινή απόφαση του Πρωθυπουργού και του Υπουργού Οικονομικών «Ανάθεση αρμοδιοτήτων στον Υφυπουργό Οικονομικών, Χρίστο Δήμα» (Β΄3472).</w:t>
      </w:r>
    </w:p>
    <w:p>
      <w:pPr>
        <w:pStyle w:val="PreambelText"/>
        <w:spacing w:before="240" w:after="240"/>
        <w:rPr>
          <w:lang w:val="el" w:eastAsia="el"/>
        </w:rPr>
      </w:pPr>
      <w:r>
        <w:rPr>
          <w:b/>
          <w:bCs/>
          <w:lang w:val="el" w:eastAsia="el"/>
        </w:rPr>
        <w:t xml:space="preserve">14. </w:t>
      </w:r>
      <w:r>
        <w:rPr>
          <w:b/>
          <w:bCs/>
          <w:lang w:val="el" w:eastAsia="el"/>
        </w:rPr>
        <w:t>Την ανάγκη διευκόλυνσης των συναλλαγών με την Φορολογική Διοίκηση, αναβάθμισης των παρεχομένων Υπηρεσιών προς τους πολίτες και τις επιχειρήσεις, μείωσης της γραφειοκρατίας και αποσυμφόρησης της συναλλακτικής δραστηριότητας των Δ.Ο.Υ.</w:t>
      </w:r>
    </w:p>
    <w:p>
      <w:pPr>
        <w:pStyle w:val="PreambelText"/>
        <w:spacing w:before="240" w:after="240"/>
        <w:rPr>
          <w:lang w:val="el" w:eastAsia="el"/>
        </w:rPr>
      </w:pPr>
      <w:r>
        <w:rPr>
          <w:b/>
          <w:bCs/>
          <w:lang w:val="el" w:eastAsia="el"/>
        </w:rPr>
        <w:t xml:space="preserve">15. </w:t>
      </w:r>
      <w:r>
        <w:rPr>
          <w:b/>
          <w:bCs/>
          <w:lang w:val="el" w:eastAsia="el"/>
        </w:rPr>
        <w:t>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Η παρ. 2 του άρθρου 1 της υπό στοιχεία ΠΟΛ. 1140/2006 αντικαθίσταται ως ακολούθως:</w:t>
      </w:r>
    </w:p>
    <w:p>
      <w:pPr>
        <w:spacing w:before="240" w:after="240"/>
        <w:rPr>
          <w:lang w:val="el" w:eastAsia="el"/>
        </w:rPr>
      </w:pPr>
      <w:r>
        <w:rPr>
          <w:b/>
          <w:bCs/>
          <w:lang w:val="el" w:eastAsia="el"/>
        </w:rPr>
        <w:t xml:space="preserve">«2. </w:t>
      </w:r>
      <w:r>
        <w:rPr>
          <w:b/>
          <w:bCs/>
          <w:lang w:val="el" w:eastAsia="el"/>
        </w:rPr>
        <w:t>α) Η δήλωση/γνωστοποίηση του αριθμού λογαριασμού πληρωμών (ΙΒΑΝ) που τηρεί ο δικαιούχος σε παρόχους υπηρεσιών πληρωμών της Ελλάδος, στη Φορολογική Διοίκηση πραγματοποιείται με είσοδο στην ψηφιακή πύλη myAADE (myAADE.gov.gr) στη διαδρομή Μητρώο και Επικοινωνία/Δήλωση λογαριασμού ΙΒΑΝ, όπου ο δικαιούχος υποβάλλει ηλεκτρονική Αίτηση/Υπεύθυνη Δήλωση. Σε περίπτωση κοινού λογαριασμού αυτός δύναται να δηλώνεται έως δύο δικαιούχους. Σε περίπτωση μεταβολής ήδη δηλωμένου αριθμού λογαριασμού πληρωμών ο δικαιούχος οφείλει να προβαίνει σε άμεση γνωστοποίηση του στη Φορολογική Διοίκηση κατά τα ανωτέρω οριζόμενα. Η ορθότητα των στοιχείων κάθε αρχικής ή τροποποιητικής δήλωσης του εν λόγω αριθμού λογαριασμού πληρωμών επαληθεύεται με τον εκάστοτε πάροχο υπηρεσιών πληρωμών, σύμφωνα με τις διατάξεις του άρθρου 11 του ν.4557/2018. Η ως άνω δήλωση υποβάλλεται και στην ψηφιακή εφαρμογή της ΑΑΔΕ για φορητές συσκευές (my AADE app).</w:t>
      </w:r>
    </w:p>
    <w:p>
      <w:pPr>
        <w:spacing w:before="240" w:after="240"/>
        <w:rPr>
          <w:lang w:val="el" w:eastAsia="el"/>
        </w:rPr>
      </w:pPr>
      <w:r>
        <w:rPr>
          <w:b/>
          <w:bCs/>
          <w:lang w:val="el" w:eastAsia="el"/>
        </w:rPr>
        <w:t>β) Σε περιπτώσεις αδυναμίας σύγχρονης και αυτόματης επαλήθευσης του αριθμού λογαριασμού πληρωμών (IBAN) από τον εκάστοτε πάροχο υπηρεσιών πληρωμών, αυτός δύναται να δηλώνεται/γνωστοποιείται με είσοδο στην ψηφιακή πύλη my AADE, όπου ο δικαιούχος καταχωρεί:</w:t>
      </w:r>
    </w:p>
    <w:p>
      <w:pPr>
        <w:spacing w:before="240" w:after="240"/>
        <w:rPr>
          <w:lang w:val="el" w:eastAsia="el"/>
        </w:rPr>
      </w:pPr>
      <w:r>
        <w:rPr>
          <w:b/>
          <w:bCs/>
          <w:lang w:val="el" w:eastAsia="el"/>
        </w:rPr>
        <w:t xml:space="preserve">i) </w:t>
      </w:r>
      <w:r>
        <w:rPr>
          <w:b/>
          <w:bCs/>
          <w:lang w:val="el" w:eastAsia="el"/>
        </w:rPr>
        <w:t>τον αριθμό λογαριασμού πληρωμών (IBAN),</w:t>
      </w:r>
    </w:p>
    <w:p>
      <w:pPr>
        <w:spacing w:before="240" w:after="240"/>
        <w:rPr>
          <w:lang w:val="el" w:eastAsia="el"/>
        </w:rPr>
      </w:pPr>
      <w:r>
        <w:rPr>
          <w:b/>
          <w:bCs/>
          <w:lang w:val="el" w:eastAsia="el"/>
        </w:rPr>
        <w:t xml:space="preserve">ii) </w:t>
      </w:r>
      <w:r>
        <w:rPr>
          <w:b/>
          <w:bCs/>
          <w:lang w:val="el" w:eastAsia="el"/>
        </w:rPr>
        <w:t>τον πάροχο υπηρεσιών πληρωμών του δικαιούχου (BIC)/SWIFT CODE, iii) την επωνυμία του παρόχου υπηρεσιών πληρωμών,</w:t>
      </w:r>
    </w:p>
    <w:p>
      <w:pPr>
        <w:spacing w:before="240" w:after="240"/>
        <w:rPr>
          <w:lang w:val="el" w:eastAsia="el"/>
        </w:rPr>
      </w:pPr>
      <w:r>
        <w:rPr>
          <w:b/>
          <w:bCs/>
          <w:lang w:val="el" w:eastAsia="el"/>
        </w:rPr>
        <w:t xml:space="preserve">iv) </w:t>
      </w:r>
      <w:r>
        <w:rPr>
          <w:b/>
          <w:bCs/>
          <w:lang w:val="el" w:eastAsia="el"/>
        </w:rPr>
        <w:t>το όνομα, το επώνυμο και το πατρώνυμο ή την επωνυμία του δικαιούχου (όπως αυτά χρησιμοποιούνται στις συναλλαγές με τον πάροχο υπηρεσιών πληρωμών) και</w:t>
      </w:r>
    </w:p>
    <w:p>
      <w:pPr>
        <w:spacing w:before="240" w:after="240"/>
        <w:rPr>
          <w:lang w:val="el" w:eastAsia="el"/>
        </w:rPr>
      </w:pPr>
      <w:r>
        <w:rPr>
          <w:b/>
          <w:bCs/>
          <w:lang w:val="el" w:eastAsia="el"/>
        </w:rPr>
        <w:t xml:space="preserve">v) </w:t>
      </w:r>
      <w:r>
        <w:rPr>
          <w:b/>
          <w:bCs/>
          <w:lang w:val="el" w:eastAsia="el"/>
        </w:rPr>
        <w:t>τη διεύθυνση κατοικίας του δικαιούχου (αριθμός, οδός, πόλη Τ.Κ.).</w:t>
      </w:r>
    </w:p>
    <w:p>
      <w:pPr>
        <w:spacing w:before="240" w:after="240"/>
        <w:rPr>
          <w:lang w:val="el" w:eastAsia="el"/>
        </w:rPr>
      </w:pPr>
      <w:r>
        <w:rPr>
          <w:b/>
          <w:bCs/>
          <w:lang w:val="el" w:eastAsia="el"/>
        </w:rPr>
        <w:t>Η καταχώρηση των ανωτέρω στοιχείων επέχει θέση Υπεύθυνης Δήλωσης του άρθρου 8 του ν. 1599/1986 και ολοκληρώνεται με την επισύναψη της Βεβαίωσης τήρησης λογαριασμού του παρόχου υπηρεσιών πληρωμών από την οποία θα προκύπτουν τα ανωτέρω στοιχεία.</w:t>
      </w:r>
    </w:p>
    <w:p>
      <w:pPr>
        <w:spacing w:before="240" w:after="240"/>
        <w:rPr>
          <w:lang w:val="el" w:eastAsia="el"/>
        </w:rPr>
      </w:pPr>
      <w:r>
        <w:rPr>
          <w:b/>
          <w:bCs/>
          <w:lang w:val="el" w:eastAsia="el"/>
        </w:rPr>
        <w:t>Σε περίπτωση μεταβολής των στοιχείων του αριθμού λογαριασμού πληρωμών (ΙΒΑΝ) ο δικαιούχος υποχρεούται να τα επικαιροποιεί άμεσα ακολουθώντας την ως άνω αντίστοιχη διαδικασία.</w:t>
      </w:r>
    </w:p>
    <w:p>
      <w:pPr>
        <w:spacing w:before="240" w:after="240"/>
        <w:rPr>
          <w:lang w:val="el" w:eastAsia="el"/>
        </w:rPr>
      </w:pPr>
      <w:r>
        <w:rPr>
          <w:b/>
          <w:bCs/>
          <w:lang w:val="el" w:eastAsia="el"/>
        </w:rPr>
        <w:t>Η ορθότητα των στοιχείων κάθε αρχικής ή τροποποιητικής δήλωσης του εν λόγω αριθμού λογαριασμού πληρωμών (IBAN), για τις περιπτώσεις που ορίζονται στην περ. β, επαληθεύεται από την αρμόδια υπηρεσία της ΑΑΔΕ (Κέντρο Φορολογικών Διαδικασιών και Εξυπηρέτησης-ΚΕΦΟΔΕ/ Δ.Ο.Υ.), η οποία, αφού ολοκληρώσει τον έλεγχο θα αποδέχεται την εν λόγω δήλωση του αριθμού λογαριασμού πληρωμών (ΙΒΑΝ). Σε κάθε περίπτωση ο φορολογούμενος θα ειδοποιείται για την αποδοχή ή την απόρριψη της δήλωσής του.</w:t>
      </w:r>
    </w:p>
    <w:p>
      <w:pPr>
        <w:spacing w:before="240" w:after="240"/>
        <w:rPr>
          <w:lang w:val="el" w:eastAsia="el"/>
        </w:rPr>
      </w:pPr>
      <w:r>
        <w:rPr>
          <w:b/>
          <w:bCs/>
          <w:lang w:val="el" w:eastAsia="el"/>
        </w:rPr>
        <w:t>γ) Η δήλωση/γνωστοποίηση του αριθμού λογαριασμού πληρωμών (ΙΒΑΝ) που τηρεί ο δικαιούχος σε παρόχους υπηρεσιών πληρωμών σε χώρες εντός του Ενιαίου Χώρου Πληρωμών σε Ευρώ (SEPA), πραγματοποιείται με είσοδο στην ψηφιακή πύλη myAADE (myAADE.gov.gr) στη διαδρομή Μητρώο και Επικοινωνία/Δήλωση λογαριασμού ΙΒΑΝ , όπου ο δικαιούχος καταχωρεί:</w:t>
      </w:r>
    </w:p>
    <w:p>
      <w:pPr>
        <w:spacing w:before="240" w:after="240"/>
        <w:rPr>
          <w:lang w:val="el" w:eastAsia="el"/>
        </w:rPr>
      </w:pPr>
      <w:r>
        <w:rPr>
          <w:b/>
          <w:bCs/>
          <w:lang w:val="el" w:eastAsia="el"/>
        </w:rPr>
        <w:t xml:space="preserve">i) </w:t>
      </w:r>
      <w:r>
        <w:rPr>
          <w:b/>
          <w:bCs/>
          <w:lang w:val="el" w:eastAsia="el"/>
        </w:rPr>
        <w:t>Τον αριθμό λογαριασμού πληρωμών (IBAN),</w:t>
      </w:r>
    </w:p>
    <w:p>
      <w:pPr>
        <w:spacing w:before="240" w:after="240"/>
        <w:rPr>
          <w:lang w:val="el" w:eastAsia="el"/>
        </w:rPr>
      </w:pPr>
      <w:r>
        <w:rPr>
          <w:b/>
          <w:bCs/>
          <w:lang w:val="el" w:eastAsia="el"/>
        </w:rPr>
        <w:t xml:space="preserve">ii) </w:t>
      </w:r>
      <w:r>
        <w:rPr>
          <w:b/>
          <w:bCs/>
          <w:lang w:val="el" w:eastAsia="el"/>
        </w:rPr>
        <w:t>τον πάροχο υπηρεσιών πληρωμών του δικαιούχου (BIC)/SWIFT CODE, iii) την επωνυμία του παρόχου υπηρεσιών πληρωμών,</w:t>
      </w:r>
    </w:p>
    <w:p>
      <w:pPr>
        <w:spacing w:before="240" w:after="240"/>
        <w:rPr>
          <w:lang w:val="el" w:eastAsia="el"/>
        </w:rPr>
      </w:pPr>
      <w:r>
        <w:rPr>
          <w:b/>
          <w:bCs/>
          <w:lang w:val="el" w:eastAsia="el"/>
        </w:rPr>
        <w:t>iv) το όνομα, το επώνυμο και το πατρώνυμο ή την επωνυμία του δικαιούχου (όπως αυτά χρησιμοποιούνται στις συναλλαγές με τον πάροχο υπηρεσιών πληρωμών) v) τη χώρα που τηρείται ο αριθμός λογαριασμού πληρωμών, και vi) τη διεύθυνση κατοικίας του δικαιούχου (αριθμός, οδός, πόλη Τ.Κ.).</w:t>
      </w:r>
    </w:p>
    <w:p>
      <w:pPr>
        <w:spacing w:before="240" w:after="240"/>
        <w:rPr>
          <w:lang w:val="el" w:eastAsia="el"/>
        </w:rPr>
      </w:pPr>
      <w:r>
        <w:rPr>
          <w:b/>
          <w:bCs/>
          <w:lang w:val="el" w:eastAsia="el"/>
        </w:rPr>
        <w:t>Η καταχώρηση των ανωτέρω στοιχείων επέχει θέση Υπεύθυνης Δήλωσης του άρθρου 8 του ν. 1599/1986 και ολοκληρώνεται με την επισύναψη της Βεβαίωσης τήρησης λογαριασμού του παρόχου υπηρεσιών πληρωμών του Εξωτερικού, επίσημα μεταφρασμένης, από την οποία θα προκύπτουν τα ανωτέρω στοιχεία. Είναι δυνατόν να γίνεται δεκτή Βεβαίωση τήρησης λογαριασμού στην αγγλική γλώσσα, εφόσον από αυτήν προκύπτουν με σαφήνεια τα στοιχεία i) έως v) της προηγούμενης παραγράφου.</w:t>
      </w:r>
    </w:p>
    <w:p>
      <w:pPr>
        <w:spacing w:before="240" w:after="240"/>
        <w:rPr>
          <w:lang w:val="el" w:eastAsia="el"/>
        </w:rPr>
      </w:pPr>
      <w:r>
        <w:rPr>
          <w:b/>
          <w:bCs/>
          <w:lang w:val="el" w:eastAsia="el"/>
        </w:rPr>
        <w:t>Σε περίπτωση μεταβολής των στοιχείων του λογαριασμού (ΙΒΑΝ) ο δικαιούχος υποχρεούται να τα επικαιροποιεί άμεσα ακολουθώντας την ως άνω διαδικασία. Η ορθότητα των στοιχείων κάθε αρχικής ή τροποποιητικής δήλωσης του εν λόγω αριθμού λογαριασμού πληρωμών (IBAN) επαληθεύεται από την αρμόδια υπηρεσία της ΑΑΔΕ (Κέντρο Φορολογικών Διαδικασιών και Εξυπηρέτησης- ΚΕΦΟΔΕ/Δ.Ο.Υ.), η οποία αφού ολοκληρώσει τον έλεγχο θα αποδέχεται την εν λόγω δήλωση του αριθμού λογαριασμού πληρωμών (ΙΒΑΝ). Σε κάθε περίπτωση ο φορολογούμενος θα ειδοποιείται για την αποδοχή ή την απόρριψη της δήλωσής του.</w:t>
      </w:r>
    </w:p>
    <w:p>
      <w:pPr>
        <w:spacing w:before="240" w:after="240"/>
        <w:rPr>
          <w:lang w:val="el" w:eastAsia="el"/>
        </w:rPr>
      </w:pPr>
      <w:r>
        <w:rPr>
          <w:b/>
          <w:bCs/>
          <w:lang w:val="el" w:eastAsia="el"/>
        </w:rPr>
        <w:t>Οι δικαιούχοι, φυσικά ή νομικά πρόσωπα/νομικές οντότητες αναλαμβάνουν τα έξοδα που θα απαιτηθούν για τη μεταφορά των ποσών που τους αφορούν στο εξωτερικό».</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Από την έναρξη ισχύος της παρούσας διενεργείται κεντρικά η διαδικασία επαλήθευσης των ήδη δηλωμένων αριθμών λογαριασμού πληρωμών (IBAN). Σε περίπτωση επαλήθευσης με τον πάροχο υπηρεσιών πληρωμών ο αριθμός λογαριασμού πληρωμών (ΙΒΑΝ) θεωρείται έγκυρος και ημερομηνία επικαιροποίησής του είναι η ημερομηνία διενέργειας της κεντρικής διαδικασίας. Σε περίπτωση μη επαλήθευσης θα ακολουθήσει ενημέρωση των φορολογουμένων, ώστε να επικαιροποιήσουν τα στοιχεία του λογαριασμού τους με τη διαδικασία που προβλέπεται στην παρούσα. Σε περίπτωση που οι φορολογούμενοι δεν προβούν σε επικαιροποίηση των στοιχείων τους, ο λογαριασμός τους θα θεωρείται μη έγκυρος.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ΕΘΝΙΚΗΣΟΙΚΟΝΟΜΙΑΣ ΚΑΙ ΟΙΚΟΝΟΜΙΚΩΝΧΡΙΣΤΟΣ ΔΗΜΑΣ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Γενική Διεύθυνση Ηλεκτρονικής Διακυβέρνησης (ΓΔΗΛΕΔ)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Ελεγκτικό Συνέδριο - Υπηρεσία Επιτρόπου «Παρακολούθηση και Έλεγχος Είσπραξης Δημοσίων Εσόδων και Επιτήρηση Δημοσίων Υπολόγων»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Γραφεία Προϊσταμένων Γενικών Διευθύνσεων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Επιχειρησιακών Διαδικασιών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Τμήματα Α-Γ, Γραμματεία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Ανάπτυξης Φορολογικών Εφαρμογών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Επιχειρησιακού Σχεδιασμού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