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10863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Έκτη (6η) τροποποίηση της υπ’ αρ. 77602/ 12.7.2021 απόφασης «Έγκριση Ειδικού Προγράμματος Αντιμετώπισης Εκτάκτων Αναγκών: στόχοι και σύστημα διαχείρισης» (Β’ 3391).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ΕΘΝΙΚΗΣ ΟΙΚΟΝΟΜΙΑΣ ΚΑΙ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α.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β. του μέρους ΙΗ «Εθνικό Πρόγραμμα Ανάπτυξης» του ν. 4635/2019 «Επενδύω στην Ελλάδα και άλλες διατάξεις» (Α’ 167) και ιδίως τις παρ. 1 και 2 του άρθρου 130 «Ειδικά Προγράμματα»,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γ. του ν. 4270/2014 «Αρχές δημοσιονομικής διαχείρισης και εποπτείας (ενσωμάτωση της Οδηγίας 2011/85/ ΕΕ) - δημόσιο λογιστικό και άλλες διατάξεις» (Α’ 143),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δ. του ν. 4727/2020 (Α’ 184),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ε. του άρθρου 90 του Κώδικα Νομοθεσίας για την Κυβέρνηση και τα κυβερνητικά όργανα (π.δ. 63/2005, Α’ 98), το οποίο διατηρήθηκε σε ισχύ με την περ. 22 του άρθρου 119 του ν. 4622/2019 (Α’ 133),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στ. του άρθρου 110 του ν. 4497/2017 «Άσκηση υπαίθριων εμπορικών δραστηριοτήτων, εκσυγχρονισμός της επιμελητηριακής νομοθεσίας και άλλες διατάξεις» (Α’ 171, Διόρθωση Σφάλματος Α’ 207),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ζ. του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εποπτευομένων φορέων» (Α’ 130),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η. του π.δ. 79/2023 «Διορισμός Υπουργών, Αναπληρωτών Υπουργών και Υφυπουργών» (Α’ 131),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θ. του π.δ. 5/2022 «Οργανισμός Υπουργείου Ανάπτυξης και Επενδύσεων» (Α’ 15),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ι. του π.δ.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κ. του π.δ. 50/2024 «Σύσταση Γενικών Γραμματειών, κατάργηση Γενικής Γραμματείας και Ειδικών Γραμματειών» (Α’ 138).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υπ’ αρ. 38/31.8.2020 Πράξη Υπουργικού Συμβουλίου «Έγκριση και προσδιορισμός των πόρων υλοποίησης του Εθνικού Προγράμματος Ανάπτυξης (Ε.Π.Α.) για την προγραμματική περίοδο 2021- 2025» (Α’ 174).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υπ’ αρ. 141748/27.12.2021 απόφαση του Υφυπουργού Ανάπτυξης και Επενδύσεων «1η Αναθεώρηση Εθνικού Προγράμματος Ανάπτυξης (ΕΠΑ) 2021 - 2025» (Β’ 6358).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Την υπ’ αρ. 123675/21.12.2023 απόφαση του Αναπληρωτή Υπουργού Εθνικής Οικονομίας και Οικονομικών «2η Αναθεώρηση Εθνικού Προγράμματος Ανάπτυξης (ΕΠΑ) 2021 - 2025» (Β’ 7342).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υπό στοιχεία Υ 12/7.7.2023 απόφαση του Πρωθυπουργού «Ανάθεση Αρμοδιοτήτων στον Αναπληρωτή Υπουργό Οικονομικών, Νικόλαο Παπαθανάση» (Β’ 4403).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Την υπ’ αρ. 62564/04.06.2021 απόφαση του Υφυπουργού Ανάπτυξης και Επενδύσεων «Σύστημα Διαχείρισης και Ελέγχου - Κανόνες επιλεξιμότητας δαπανών για τα προγράμματα του Εθνικού Προγράμματος Ανάπτυξης (ΕΠΑ) 2021-2025» (Β’ 2442), όπως εκάστοτε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υπ’ αρ. 126518/22.11.2021 απόφαση του Υφυπουργού Ανάπτυξης και Επενδύσεων «Πληροφοριακό Σύστημα Εθνικού Προγράμματος Ανάπτυξης» (Β’ 5524).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Την υπ’ αρ. 77602/12.7.2021 απόφαση του Υφυπουργού Ανάπτυξης και Επενδύσεων «Έγκριση Ειδικού Προγράμματος αντιμετώπισης έκτακτων αναγκών: στόχοι και σύστημα διαχείρισης» (Β’ 3391)», όπως τροποποιήθηκε με τις υπ’ αρ. 118558/2.11.2021 (Β’ 5075), 89285/16.9.2022 (Β’ 4956), 4108/18.1.2023 (Β’ 224), 70662/3.8.2023 (Β’ 4960) και 5984/28.3.2024 (Β’ 2085) όμοιες αποφάσεις.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Την ανάγκη για την εκ νέου σύσταση της Επιτροπής Συντονισμού του Ειδικού Προγράμματος Εκτάκτων Αναγκών που προέκυψε μετά την έκδοση του π.δ. 50/2024 «Σύσταση Γενικών Γραμματειών, κατάργηση Γενικής Γραμματείας και Ειδικών Γραμματειών» (Α’ 138).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από 30.8.2024 εισήγηση της Διεύθυνσης Διαχείρισης Εθνικού Προγράμματος Δημοσίων Επενδύσεων.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από τις διατάξεις της παρούσας δεν προκαλείται περαιτέρω δαπάνη στο κρατικό προϋπολογισμό,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Η υπ’ αρ. 77602/12.7.2021 απόφαση του Υφυπουργού Ανάπτυξης και Επενδύσεων «Έγκριση Ειδικού Προγράμματος αντιμετώπισης έκτακτων αναγκών: στόχοι και σύστημα διαχείρισης» (Β’ 3391)», όπως τροποποιήθηκε με τις υπ’ αρ. 118558/2.11.2021 (Β’ 5075), 89285/16.9.2022 (Β’ 4956), 4108/18.1.2023 (Β’ 224), 70662/3.8.2023 (Β’ 4960) και 5984/28.3.2024 (Β’ 2085) όμοιες αποφάσεις, τροποποιείται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μόνο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Αντικαθίσταται η παρ. 2 του άρθρου 2 της υπ’ αρ. 77602/12.7.2021 απόφασης του Υφυπουργού Ανάπτυξης και Επενδύσεων «Έγκριση Ειδικού Προγράμματος αντιμετώπισης έκτακτων αναγκών: στόχοι και σύστημα διαχείρισης» (Β’ 3391)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«2. Η ΕΠΣΥ αποτελείται από: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I. Τον/την Αναπληρωτή Υπουργό Εθνικής Οικονομίας και Οικονομικών, ως πρόεδρο,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II. τον/την Γενικό/ή Γραμματέα Προγράμματος Δημοσίων Επενδύσεων και Εθνικού Προγράμματος Ανάπτυξης (ΠΔΕ και ΕΠΑ) του Υπουργείου Εθνικής Οικονομίας και Οικονομικών, ως μέλος,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III. τον/την Γενικό/ή Γραμματέα Δημοσιονομικής Πολιτικής του Υπουργείου Εθνικής Οικονομίας και Οικονομικών, ως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Τον/Την Πρόεδρο αναπληρώνει σε περίπτωση κωλύματος ο/η Γενικός/ή Γραμματέας Προγράμματος Δημοσίων Επενδύσεων και Εθνικού Προγράμματος Ανάπτυξης (ΠΔΕ και ΕΠΑ) του Υπουργείου Εθνικής Οικονομίας και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μέλη της ΕΠΣΥ αναπληρώνονται από νόμιμα εξουσιοδοτημένα πρόσωπα μόνο σε περίπτωση απουσίας ή κωλύματός τους, με έγγραφη γνωστοποίηση του ονόματος του αναπληρωτή στον πρόεδρο της ΕΠΣΥ.».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ως άνω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ισχύει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4 Σεπτεμβρίου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Αναπληρωτής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ΝΙΚΟΛΑΟΣ ΠΑΠΑΘΑΝΑΣΗΣ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