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w:t>
      </w:r>
    </w:p>
    <w:p>
      <w:pPr>
        <w:pStyle w:val="Title"/>
        <w:spacing w:before="120" w:after="360"/>
        <w:rPr>
          <w:lang w:val="el" w:eastAsia="el"/>
        </w:rPr>
      </w:pPr>
      <w:r>
        <w:rPr>
          <w:b/>
          <w:bCs/>
          <w:lang w:val="el" w:eastAsia="el"/>
        </w:rPr>
        <w:t>&amp; ΟΙΚΟΝΟΜΙΚΩΝ Α. ΓΡΑΦΕΙΟ ΥΦΥΠΟΥΡΓΟΥ ΕΘΝΙΚΗΣ ΟΙΚΟΝΟΜΙΑΣ &amp; ΟΙΚΟΝΟΜΙΚΩΝ, αρμοδιότητας Φορολογικής Πολιτικής</w:t>
      </w:r>
    </w:p>
    <w:p>
      <w:pPr>
        <w:pStyle w:val="Title"/>
        <w:spacing w:before="120" w:after="360"/>
        <w:rPr>
          <w:lang w:val="el" w:eastAsia="el"/>
        </w:rPr>
      </w:pPr>
      <w:r>
        <w:rPr>
          <w:b/>
          <w:bCs/>
          <w:lang w:val="el" w:eastAsia="el"/>
        </w:rPr>
        <w:t>Β. ΓΡΑΦΕΙΟ ΥΦΥΠΟΥΡΓΟΥ ΕΘΝΙΚΗΣ ΟΙΚΟΝΟΜΙΑΣ &amp; ΟΙΚΟΝΟΜΙΚΩΝ, αρμοδιότητας Δημοσιονομικής Πολιτικής</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ΔΑΔΕ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b/>
          <w:bCs/>
          <w:lang w:val="el" w:eastAsia="el"/>
        </w:rPr>
        <w:t>Α) ΓΕΝΙΚΗ ΔΙΕΥΘΥΝΣΗ ΦΟΡΟΛΟΓΙΑΣ Ι. ΔΙΕΥΘΥΝΣΗ ΕΛΕΓΚΤΙΚΩΝ ΔΙΑΔΙΚΑΣΙΩΝ ΤΜΗΜΑ A΄</w:t>
      </w:r>
    </w:p>
    <w:p>
      <w:pPr>
        <w:pStyle w:val="PreambelText"/>
        <w:spacing w:before="240" w:after="240"/>
        <w:rPr>
          <w:lang w:val="el" w:eastAsia="el"/>
        </w:rPr>
      </w:pPr>
      <w:r>
        <w:rPr>
          <w:b/>
          <w:bCs/>
          <w:lang w:val="el" w:eastAsia="el"/>
        </w:rPr>
        <w:t>Β) ΓΕΝΙΚΗ ΔΙΕΥΘΥΝΣΗ ΟΙΚΟΝΟΜΙΚΩΝ ΚΑΙ ΤΕΧΝΙΚΩΝ ΥΠΗΡΕΣΙΩΝ ΔΙΕΥΘΥΝΣΗ ΠΡΟΫΠΟΛΟΓΙΣΜΟΥ ΚΑΙ ΔΗΜΟΣΙΟΝΟΜΙΚΩΝ ΑΝΑΦΟΡΩΝ ΔΙΕΥΘΥΝΣΗ ΠΡΟΜΗΘΕΙΩΝ ΚΑΙ ΚΤΙΡΙΑΚΩΝ ΥΠΟΔΟΜΩΝ</w:t>
      </w:r>
    </w:p>
    <w:p>
      <w:pPr>
        <w:pStyle w:val="PreambelText"/>
        <w:spacing w:before="240" w:after="240"/>
        <w:rPr>
          <w:lang w:val="el" w:eastAsia="el"/>
        </w:rPr>
      </w:pPr>
      <w:r>
        <w:rPr>
          <w:b/>
          <w:bCs/>
          <w:lang w:val="el" w:eastAsia="el"/>
        </w:rPr>
        <w:t>Γ) 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Μητρώου και Εικόνας Φορολογουμένων</w:t>
      </w:r>
    </w:p>
    <w:p>
      <w:pPr>
        <w:spacing w:before="240" w:after="240"/>
        <w:rPr>
          <w:lang w:val="el" w:eastAsia="el"/>
        </w:rPr>
      </w:pPr>
      <w:r>
        <w:rPr>
          <w:b/>
          <w:bCs/>
          <w:lang w:val="el" w:eastAsia="el"/>
        </w:rPr>
        <w:t>Δ) ΔΙΕΥΘΥΝΣΗ ΕΠΙΚΟΙΝΩΝΙΑΣ</w:t>
      </w:r>
    </w:p>
    <w:p>
      <w:pPr>
        <w:pStyle w:val="Heading1"/>
        <w:spacing w:before="240" w:after="240"/>
        <w:rPr>
          <w:lang w:val="el" w:eastAsia="el"/>
        </w:rPr>
      </w:pPr>
      <w:r>
        <w:rPr>
          <w:b/>
          <w:bCs/>
          <w:lang w:val="el" w:eastAsia="el"/>
        </w:rPr>
        <w:t xml:space="preserve">Τμήμα Α΄ </w:t>
      </w:r>
    </w:p>
    <w:p>
      <w:pPr>
        <w:pStyle w:val="Heading1"/>
        <w:spacing w:before="240" w:after="240"/>
        <w:rPr>
          <w:lang w:val="el" w:eastAsia="el"/>
        </w:rPr>
      </w:pPr>
      <w:r>
        <w:rPr>
          <w:b/>
          <w:bCs/>
          <w:lang w:val="el" w:eastAsia="el"/>
        </w:rPr>
        <w:t>- Επικοινωνιακής Στρατηγικής</w:t>
      </w:r>
    </w:p>
    <w:p>
      <w:pPr>
        <w:spacing w:before="240" w:after="240"/>
        <w:rPr>
          <w:lang w:val="el" w:eastAsia="el"/>
        </w:rPr>
      </w:pPr>
      <w:r>
        <w:rPr>
          <w:b/>
          <w:bCs/>
          <w:lang w:val="el" w:eastAsia="el"/>
        </w:rPr>
        <w:t xml:space="preserve">Θέμα: Τροποποίηση της υπό στοιχεία Α.1118/01.08.2024 κοινής απόφασης των Υφυπουργών Εθνικής Οικονομίας και Οικονομικών «Καθορισμός του μορφότυπου της αναγραφής της παρ. 1 του άρθρου 66 του ν. 4446/2016 (Α΄240) για τις επιχειρήσεις ταξί των σημείων εντός του οχήματος στα οποία τίθεται η αναγραφή αυτή, του τρόπου παραγωγής και διάθεσής της, του τρόπου κάλυψης της δαπάνης καθώς και κάθε άλλου θέματος σχετικά με την εφαρμογή του παρόντος.» </w:t>
      </w:r>
      <w:r>
        <w:rPr>
          <w:lang w:val="el" w:eastAsia="el"/>
        </w:rPr>
        <w:t>(</w:t>
      </w:r>
      <w:r>
        <w:rPr>
          <w:b/>
          <w:bCs/>
          <w:lang w:val="el" w:eastAsia="el"/>
        </w:rPr>
        <w:t>Β’4529)</w:t>
      </w:r>
    </w:p>
    <w:p>
      <w:pPr>
        <w:spacing w:before="240" w:after="240"/>
        <w:rPr>
          <w:lang w:val="el" w:eastAsia="el"/>
        </w:rPr>
      </w:pPr>
      <w:r>
        <w:rPr>
          <w:b/>
          <w:bCs/>
          <w:lang w:val="el" w:eastAsia="el"/>
        </w:rPr>
        <w:t>ΚΟΙΝΗ ΑΠΟΦΑΣΗ</w:t>
      </w:r>
    </w:p>
    <w:p>
      <w:pPr>
        <w:spacing w:before="240" w:after="240"/>
        <w:rPr>
          <w:lang w:val="el" w:eastAsia="el"/>
        </w:rPr>
      </w:pPr>
      <w:r>
        <w:rPr>
          <w:b/>
          <w:bCs/>
          <w:lang w:val="el" w:eastAsia="el"/>
        </w:rPr>
        <w:t>ΟI ΥΦΥΠΟΥΡΓΟI ΕΘΝΙΚΗΣ ΟΙΚΟΝΟΜΙΑΣ &amp;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1 και της περ. α΄ της παρ. 9 του άρθρου 66 του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(A΄ 240), όπως η τελευταία προστέθηκε με το άρθρο 16 του ν. 5122/2024 «Ενσωμάτωση του άρθρου 1 της Οδηγίας (ΕΕ) 2019/1151 κατά το μέρος που αφορά τους αποκλεισμένους διευθυντές και άλλες επείγουσες διατάξεις» (Α΄108),</w:t>
      </w:r>
    </w:p>
    <w:p>
      <w:pPr>
        <w:pStyle w:val="StructureList1"/>
        <w:spacing w:before="120" w:after="0"/>
        <w:rPr>
          <w:lang w:val="el" w:eastAsia="el"/>
        </w:rPr>
      </w:pPr>
      <w:r>
        <w:rPr>
          <w:lang w:val="el" w:eastAsia="el"/>
        </w:rPr>
        <w:t>β)</w:t>
      </w:r>
      <w:r>
        <w:rPr>
          <w:lang w:val="en" w:eastAsia="en"/>
        </w:rPr>
        <w:tab/>
      </w:r>
      <w:r>
        <w:rPr>
          <w:b/>
          <w:bCs/>
          <w:lang w:val="el" w:eastAsia="el"/>
        </w:rPr>
        <w:t>της παραγράφου 3 του άρθρου 77 και της περ. ιβ’ του άρθρου 20 του ν.4270/2014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της παρ. 5 του άρθρου 19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ν.4622/2019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Την υπό στοιχεία 1100330/1954/ΔΜ/ΠΟΛ1133/06-10-2008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lang w:val="el" w:eastAsia="el"/>
        </w:rPr>
        <w:t xml:space="preserve">4.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5. </w:t>
      </w:r>
      <w:r>
        <w:rPr>
          <w:b/>
          <w:bCs/>
          <w:lang w:val="el" w:eastAsia="el"/>
        </w:rPr>
        <w:t>α)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β)</w:t>
      </w:r>
      <w:r>
        <w:rPr>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6 .Το π.δ. 79/2023 «Διορισμός Υπουργών, Αναπληρωτών Υπουργών και Υφυπουργών» (Α΄131). 7. Το π.δ. 32/2024 «Διορισμός Υπουργών και Υφυπουργών» (Α’91).</w:t>
      </w:r>
    </w:p>
    <w:p>
      <w:pPr>
        <w:spacing w:before="240" w:after="240"/>
        <w:rPr>
          <w:lang w:val="el" w:eastAsia="el"/>
        </w:rPr>
      </w:pPr>
      <w:r>
        <w:rPr>
          <w:lang w:val="el" w:eastAsia="el"/>
        </w:rPr>
        <w:t xml:space="preserve">8. </w:t>
      </w:r>
      <w:r>
        <w:rPr>
          <w:b/>
          <w:bCs/>
          <w:lang w:val="el" w:eastAsia="el"/>
        </w:rPr>
        <w:t>α) Την υπ’ αρ.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StructureList1"/>
        <w:spacing w:before="120" w:after="0"/>
        <w:rPr>
          <w:lang w:val="el" w:eastAsia="el"/>
        </w:rPr>
      </w:pPr>
      <w:r>
        <w:rPr>
          <w:lang w:val="el" w:eastAsia="el"/>
        </w:rPr>
        <w:t>β)</w:t>
      </w:r>
      <w:r>
        <w:rPr>
          <w:lang w:val="en" w:eastAsia="en"/>
        </w:rPr>
        <w:tab/>
      </w:r>
      <w:r>
        <w:rPr>
          <w:b/>
          <w:bCs/>
          <w:lang w:val="el" w:eastAsia="el"/>
        </w:rPr>
        <w:t>Την υπ’ αρ. 102928 ΕΞ 2023/10.7.2023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 xml:space="preserve">9. </w:t>
      </w:r>
      <w:r>
        <w:rPr>
          <w:b/>
          <w:bCs/>
          <w:lang w:val="el" w:eastAsia="el"/>
        </w:rPr>
        <w:t>Την υπό στοιχεία Α. 1118/01.08.2024 κοινή απόφαση των Υφυπουργών Εθνικής Οικονομίας και Οικονομικών «Καθορισμός του μορφότυπου της αναγραφής της παρ. 1 του άρθρου 66 του ν. 4446/2016 (Α΄240) για τις επιχειρήσεις ταξί, των σημείων εντός του οχήματος στα οποία τίθεται η αναγραφή αυτή, του τρόπου παραγωγής και διάθεσής της, του τρόπου κάλυψης της δαπάνης καθώς και κάθε άλλου θέματος σχετικά με την εφαρμογή του παρόντος.» (Β΄4529)</w:t>
      </w:r>
    </w:p>
    <w:p>
      <w:pPr>
        <w:spacing w:before="240" w:after="240"/>
        <w:rPr>
          <w:lang w:val="el" w:eastAsia="el"/>
        </w:rPr>
      </w:pPr>
      <w:r>
        <w:rPr>
          <w:lang w:val="el" w:eastAsia="el"/>
        </w:rPr>
        <w:t xml:space="preserve">10.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w:t>
      </w:r>
    </w:p>
    <w:p>
      <w:pPr>
        <w:spacing w:before="240" w:after="240"/>
        <w:rPr>
          <w:lang w:val="el" w:eastAsia="el"/>
        </w:rPr>
      </w:pPr>
      <w:r>
        <w:rPr>
          <w:b/>
          <w:bCs/>
          <w:lang w:val="el" w:eastAsia="el"/>
        </w:rPr>
        <w:t>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11. </w:t>
      </w:r>
      <w:r>
        <w:rPr>
          <w:b/>
          <w:bCs/>
          <w:lang w:val="el" w:eastAsia="el"/>
        </w:rPr>
        <w:t>Την ανάγκη επικαιροποίησης της υπό στοιχεία Α.1118/01.08.2024 σχετικά με τη διαδικασία της παραλαβής της αναγραφής της παρ. 1 του άρθρου 66 του ν. 4446/2016 (Α΄240) για τις επιχειρήσεις ταξί προκειμένου για τη διασφάλιση της έκδοσης των παραστατικών σε συναλλαγές που αφορούν τις επιχειρήσεις ταξί και διενεργούνται με τη χρήση Μέσων Πληρωμών και την περιστολή της φοροδιαφυγής.</w:t>
      </w:r>
    </w:p>
    <w:p>
      <w:pPr>
        <w:spacing w:before="240" w:after="240"/>
        <w:rPr>
          <w:lang w:val="el" w:eastAsia="el"/>
        </w:rPr>
      </w:pPr>
      <w:r>
        <w:rPr>
          <w:lang w:val="el" w:eastAsia="el"/>
        </w:rPr>
        <w:t xml:space="preserve">11. </w:t>
      </w:r>
      <w:r>
        <w:rPr>
          <w:b/>
          <w:bCs/>
          <w:lang w:val="el" w:eastAsia="el"/>
        </w:rPr>
        <w:t>Την από 24.9.2024 εισήγηση του Διοικητή της Ανεξάρτητης Αρχής Δημοσίων Εσόδων (ΑΑΔΕ).</w:t>
      </w:r>
    </w:p>
    <w:p>
      <w:pPr>
        <w:spacing w:before="240" w:after="240"/>
        <w:rPr>
          <w:lang w:val="el" w:eastAsia="el"/>
        </w:rPr>
      </w:pPr>
      <w:r>
        <w:rPr>
          <w:lang w:val="el" w:eastAsia="el"/>
        </w:rPr>
        <w:t xml:space="preserve">12. </w:t>
      </w:r>
      <w:r>
        <w:rPr>
          <w:b/>
          <w:bCs/>
          <w:lang w:val="el" w:eastAsia="el"/>
        </w:rPr>
        <w:t>Το γεγονός ότι, από τις διατάξεις της παρούσας απόφασης τροποποίησης, δεν προκαλείται δαπάνη σε βάρος του Τακτικού Προϋπολογισμού της ΑΑΔΕ έτους 2024.</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Α.1118/01.08.2024 «Καθορισμός του μορφότυπου της αναγραφής της παρ. 1 του άρθρου 66 του ν. 4446/2016 (Α΄240) για τις επιχειρήσεις ταξί, των σημείων εντός του οχήματος στα οποία τίθεται η αναγραφή αυτή, του τρόπου παραγωγής και διάθεσής της, του τρόπου κάλυψης της δαπάνης καθώς και κάθε άλλου θέματος σχετικά με την εφαρμογή του παρόντος.» (Β’4529)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4 αντικαθίσταται ως εξής: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 – 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υπόχρεες οντότητες του άρθρου 1 οφείλουν να έχουν επικολλήσει την ταμπέλα στο όχημα ταξί που εκμεταλλεύονται εντός τριών (3) εβδομάδων από την παραλαβή της από την Πανελλήνια Ομοσπονδία Ταξί (ΠΟΕΙΑΤΑ) και τα σωματεία που είναι μέλη αυτής.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εφαρμογή της παραγράφου 1, η ΑΑΔΕ απευθύνει έγγραφη πρόσκληση παραλαβής των ταμπελών στην ΠΟΕΙΑΤΑ. Η ΠΟΕΙΑΤΑ υποχρεούται να γνωστοποιήσει ψηφιακά στην ΑΑΔΕ, εντός πέντε (5) εργάσιμων ημερών από την αποστολή της εν λόγω έγγραφης πρόσκλησης, μέσω ηλεκτρονικού ταχυδρομείου στη διεύθυνση aadesupplies@aade gr, ότι θα παραλάβει τις εν λόγω ταμπέλες, δηλώνοντας τον υπεύθυνο παραλαβής και τον τρόπο παραλαβής που επιθυμεί. Στην περίπτωση άπρακτης παρέλευσης της πενθήμερης προθεσμίας ή άρνησης παραλαβής από την ΠΟΕΙΑΤΑ, τα σωματεία έχουν υποχρέωση, εντός προθεσμίας δέκα (10) ημερών από τη γνωστοποίηση της άπρακτης παρέλευσης ή άρνησης παραλαβής από την ΠΟΕΙΑΤΑ, να ενημερώσουν ψηφιακά στην ΑΑΔΕ, μέσω μηνύματος ηλεκτρονικού ταχυδρομείου στη διεύθυνση aadesupplies@aade gr, ότι θα παραλάβουν τις εν λόγω ταμπέλες για τους υπόχρεους της περιφέρειάς τους, δηλώνοντας τον υπεύθυνο παραλαβής και τον τρόπο παραλαβής που επιθυμούν (παραλαβή από εγκατάσταση της ΑΑΔΕ ή μέσω αποστολής ταχυμεταφοράς με δικά τους έξοδα). Στην περίπτωση αυτή, τίθεται προθεσμία επικόλλησης των ταμπελών στα οχήματα ταξί εντός τριών (3) εβδομάδων από την ημερομηνία γνωστοποίησης παραλαβής των ταμπελών κατά τα ανωτέρω.</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άρνησης παραλαβής από σωματείο ή παρέλευσης άπρακτης της ανωτέρω προθεσμίας των δέκα (10) ημερών, οι υπόχρεοι οφείλουν να μεριμνήσουν για την παραγωγή των αυτοκόλλητων ταμπελών, σύμφωνα με τις προδιαγραφές της παρούσας, και την επικόλλησή τους στα οχήματα ταξί, εντός τριών (3) εβδομάδων από την εκπνοή της ανωτέρω προθεσμίας των δέκα (10) ημερών.</w:t>
      </w:r>
    </w:p>
    <w:p>
      <w:pPr>
        <w:pStyle w:val="MainText"/>
        <w:spacing w:before="120" w:after="0"/>
        <w:rPr>
          <w:lang w:val="el" w:eastAsia="el"/>
        </w:rPr>
      </w:pPr>
      <w:r>
        <w:rPr>
          <w:b/>
          <w:bCs/>
          <w:lang w:val="el" w:eastAsia="el"/>
        </w:rPr>
        <w:t>4.</w:t>
      </w:r>
      <w:r>
        <w:rPr>
          <w:lang w:val="el" w:eastAsia="el"/>
        </w:rPr>
        <w:t xml:space="preserve"> </w:t>
      </w:r>
      <w:r>
        <w:rPr>
          <w:b/>
          <w:bCs/>
          <w:lang w:val="el" w:eastAsia="el"/>
        </w:rPr>
        <w:t>Τα σωματεία υποχρεούνται, εντός προθεσμίας πέντε (5) ημερών από την εκπνοή της προθεσμίας επικόλλησης των ταμπελών στα οχήματα ταξί, να κοινοποιήσουν στην ΑΑΔΕ τον κατάλογο των υπόχρεων μαζί με τον αριθμό κυκλοφορίας των οχημάτων τους, που παρέλαβαν από τα ίδια τις εν λόγω ταμπέλες.</w:t>
      </w:r>
    </w:p>
    <w:p>
      <w:pPr>
        <w:spacing w:before="240" w:after="240"/>
        <w:rPr>
          <w:lang w:val="el" w:eastAsia="el"/>
        </w:rPr>
      </w:pPr>
      <w:r>
        <w:rPr>
          <w:lang w:val="el" w:eastAsia="el"/>
        </w:rPr>
        <w:t xml:space="preserve">5. </w:t>
      </w:r>
      <w:r>
        <w:rPr>
          <w:b/>
          <w:bCs/>
          <w:lang w:val="el" w:eastAsia="el"/>
        </w:rPr>
        <w:t>Η απόφαση αυτή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 xml:space="preserve">Ο ΥΦΥΠΟΥΡΓΟΣ ΕΘΝΙΚΗΣ ΟΙΚΟΝΟΜΙΑΣ &amp; Ο ΥΦΥΠΟΥΡΓΟΣ ΕΘΝΙΚΗΣ ΟΙΚΟΝΟΜΙΑΣ </w:t>
      </w:r>
    </w:p>
    <w:p>
      <w:pPr>
        <w:spacing w:before="240" w:after="240"/>
        <w:rPr>
          <w:lang w:val="el" w:eastAsia="el"/>
        </w:rPr>
      </w:pPr>
      <w:r>
        <w:rPr>
          <w:b/>
          <w:bCs/>
          <w:lang w:val="el" w:eastAsia="el"/>
        </w:rPr>
        <w:t>&amp;ΟΙΚΟΝΟΜΙΚΩΝ ΟΙΚΟΝΟΜΙΚΩΝ</w:t>
      </w:r>
    </w:p>
    <w:p>
      <w:pPr>
        <w:spacing w:before="240" w:after="240"/>
        <w:rPr>
          <w:lang w:val="el" w:eastAsia="el"/>
        </w:rPr>
      </w:pPr>
      <w:r>
        <w:rPr>
          <w:b/>
          <w:bCs/>
          <w:lang w:val="el" w:eastAsia="el"/>
        </w:rPr>
        <w:t>ΧΡΙΣΤΟΣ ΔΗΜΑΣ ΑΘΑΝΑΣΙΟΣ ΠΕΤΡΑΛΙΑΣ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 αρμοδιότητας Φορολογικής Πολιτικής</w:t>
      </w:r>
    </w:p>
    <w:p>
      <w:pPr>
        <w:spacing w:before="240" w:after="240"/>
        <w:rPr>
          <w:lang w:val="el" w:eastAsia="el"/>
        </w:rPr>
      </w:pPr>
      <w:r>
        <w:rPr>
          <w:lang w:val="el" w:eastAsia="el"/>
        </w:rPr>
        <w:t xml:space="preserve">3. </w:t>
      </w:r>
      <w:r>
        <w:rPr>
          <w:b/>
          <w:bCs/>
          <w:lang w:val="el" w:eastAsia="el"/>
        </w:rPr>
        <w:t>Γραφείο κ. Υφυπουργού Εθνικής Οικονομίας &amp; Οικονομικών, αρμοδιότητας Δημοσιονομικής Πολιτικής</w:t>
      </w:r>
    </w:p>
    <w:p>
      <w:pPr>
        <w:spacing w:before="240" w:after="240"/>
        <w:rPr>
          <w:lang w:val="el" w:eastAsia="el"/>
        </w:rPr>
      </w:pPr>
      <w:r>
        <w:rPr>
          <w:lang w:val="el" w:eastAsia="el"/>
        </w:rPr>
        <w:t xml:space="preserve">4.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lang w:val="el" w:eastAsia="el"/>
        </w:rPr>
        <w:t xml:space="preserve">5. </w:t>
      </w:r>
      <w:r>
        <w:rPr>
          <w:b/>
          <w:bCs/>
          <w:lang w:val="el" w:eastAsia="el"/>
        </w:rPr>
        <w:t>Γραφείο κ. Γεν. Γραμματέως Δημοσιονομικής Πολιτικής</w:t>
      </w:r>
    </w:p>
    <w:p>
      <w:pPr>
        <w:spacing w:before="240" w:after="240"/>
        <w:rPr>
          <w:lang w:val="el" w:eastAsia="el"/>
        </w:rPr>
      </w:pPr>
      <w:r>
        <w:rPr>
          <w:lang w:val="el" w:eastAsia="el"/>
        </w:rPr>
        <w:t xml:space="preserve">6. </w:t>
      </w:r>
      <w:r>
        <w:rPr>
          <w:b/>
          <w:bCs/>
          <w:lang w:val="el" w:eastAsia="el"/>
        </w:rPr>
        <w:t>Προϊστάμενος της Γενικής Δ/νσης Σ.Δ.Ο.Ε.</w:t>
      </w:r>
    </w:p>
    <w:p>
      <w:pPr>
        <w:spacing w:before="240" w:after="240"/>
        <w:rPr>
          <w:lang w:val="el" w:eastAsia="el"/>
        </w:rPr>
      </w:pPr>
      <w:r>
        <w:rPr>
          <w:lang w:val="el" w:eastAsia="el"/>
        </w:rPr>
        <w:t xml:space="preserve">7. </w:t>
      </w:r>
      <w:r>
        <w:rPr>
          <w:b/>
          <w:bCs/>
          <w:lang w:val="el" w:eastAsia="el"/>
        </w:rPr>
        <w:t>Αποδέκτες πίνακα Ζ’, Η’</w:t>
      </w:r>
    </w:p>
    <w:p>
      <w:pPr>
        <w:spacing w:before="240" w:after="240"/>
        <w:rPr>
          <w:lang w:val="el" w:eastAsia="el"/>
        </w:rPr>
      </w:pPr>
      <w:r>
        <w:rPr>
          <w:lang w:val="el" w:eastAsia="el"/>
        </w:rPr>
        <w:t xml:space="preserve">8. </w:t>
      </w:r>
      <w:r>
        <w:rPr>
          <w:b/>
          <w:bCs/>
          <w:lang w:val="el" w:eastAsia="el"/>
        </w:rPr>
        <w:t>Αποδέκτες πίνακα ΙΑ’ εκτός από τα υποθηκοφυλακεία</w:t>
      </w:r>
    </w:p>
    <w:p>
      <w:pPr>
        <w:spacing w:before="240" w:after="240"/>
        <w:rPr>
          <w:lang w:val="el" w:eastAsia="el"/>
        </w:rPr>
      </w:pPr>
      <w:r>
        <w:rPr>
          <w:lang w:val="el" w:eastAsia="el"/>
        </w:rPr>
        <w:t xml:space="preserve">9. </w:t>
      </w:r>
      <w:r>
        <w:rPr>
          <w:b/>
          <w:bCs/>
          <w:lang w:val="el" w:eastAsia="el"/>
        </w:rPr>
        <w:t>Αποδέκτες πίνακα ΙΒ’</w:t>
      </w:r>
    </w:p>
    <w:p>
      <w:pPr>
        <w:spacing w:before="240" w:after="240"/>
        <w:rPr>
          <w:lang w:val="el" w:eastAsia="el"/>
        </w:rPr>
      </w:pPr>
      <w:r>
        <w:rPr>
          <w:lang w:val="el" w:eastAsia="el"/>
        </w:rPr>
        <w:t xml:space="preserve">10. </w:t>
      </w:r>
      <w:r>
        <w:rPr>
          <w:b/>
          <w:bCs/>
          <w:lang w:val="el" w:eastAsia="el"/>
        </w:rPr>
        <w:t>Αποδέκτες πίνακα ΙΓ’</w:t>
      </w:r>
    </w:p>
    <w:p>
      <w:pPr>
        <w:spacing w:before="240" w:after="240"/>
        <w:rPr>
          <w:lang w:val="el" w:eastAsia="el"/>
        </w:rPr>
      </w:pPr>
      <w:r>
        <w:rPr>
          <w:lang w:val="el" w:eastAsia="el"/>
        </w:rPr>
        <w:t xml:space="preserve">11. </w:t>
      </w:r>
      <w:r>
        <w:rPr>
          <w:b/>
          <w:bCs/>
          <w:lang w:val="el" w:eastAsia="el"/>
        </w:rPr>
        <w:t>Αποδέκτες πίνακα ΙΣΤ’</w:t>
      </w:r>
    </w:p>
    <w:p>
      <w:pPr>
        <w:spacing w:before="240" w:after="240"/>
        <w:rPr>
          <w:lang w:val="el" w:eastAsia="el"/>
        </w:rPr>
      </w:pPr>
      <w:r>
        <w:rPr>
          <w:lang w:val="el" w:eastAsia="el"/>
        </w:rPr>
        <w:t xml:space="preserve">12. </w:t>
      </w:r>
      <w:r>
        <w:rPr>
          <w:b/>
          <w:bCs/>
          <w:lang w:val="el" w:eastAsia="el"/>
        </w:rPr>
        <w:t>Αποδέκτες πίνακα ΙΖ’</w:t>
      </w:r>
    </w:p>
    <w:p>
      <w:pPr>
        <w:spacing w:before="240" w:after="240"/>
        <w:rPr>
          <w:lang w:val="el" w:eastAsia="el"/>
        </w:rPr>
      </w:pPr>
      <w:r>
        <w:rPr>
          <w:lang w:val="el" w:eastAsia="el"/>
        </w:rPr>
        <w:t xml:space="preserve">13. </w:t>
      </w:r>
      <w:r>
        <w:rPr>
          <w:b/>
          <w:bCs/>
          <w:lang w:val="el" w:eastAsia="el"/>
        </w:rPr>
        <w:t>Αποδέκτες πίνακα ΙΗ’</w:t>
      </w:r>
    </w:p>
    <w:p>
      <w:pPr>
        <w:spacing w:before="240" w:after="240"/>
        <w:rPr>
          <w:lang w:val="el" w:eastAsia="el"/>
        </w:rPr>
      </w:pPr>
      <w:r>
        <w:rPr>
          <w:lang w:val="el" w:eastAsia="el"/>
        </w:rPr>
        <w:t xml:space="preserve">14. </w:t>
      </w:r>
      <w:r>
        <w:rPr>
          <w:b/>
          <w:bCs/>
          <w:lang w:val="el" w:eastAsia="el"/>
        </w:rPr>
        <w:t>Αποδέκτες πίνακα ΚΒ’</w:t>
      </w:r>
    </w:p>
    <w:p>
      <w:pPr>
        <w:spacing w:before="240" w:after="240"/>
        <w:rPr>
          <w:lang w:val="el" w:eastAsia="el"/>
        </w:rPr>
      </w:pPr>
      <w:r>
        <w:rPr>
          <w:lang w:val="el" w:eastAsia="el"/>
        </w:rPr>
        <w:t xml:space="preserve">15. </w:t>
      </w:r>
      <w:r>
        <w:rPr>
          <w:b/>
          <w:bCs/>
          <w:lang w:val="el" w:eastAsia="el"/>
        </w:rPr>
        <w:t>Αποδέκτες πίνακα ΚΓ’</w:t>
      </w:r>
    </w:p>
    <w:p>
      <w:pPr>
        <w:spacing w:before="240" w:after="240"/>
        <w:rPr>
          <w:lang w:val="el" w:eastAsia="el"/>
        </w:rPr>
      </w:pPr>
      <w:r>
        <w:rPr>
          <w:lang w:val="el" w:eastAsia="el"/>
        </w:rPr>
        <w:t xml:space="preserve">16.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Ελεγκτικών Διαδικασιών-Τμήμα Α’</w:t>
      </w:r>
    </w:p>
    <w:p>
      <w:pPr>
        <w:spacing w:before="240" w:after="240"/>
        <w:rPr>
          <w:lang w:val="el" w:eastAsia="el"/>
        </w:rPr>
      </w:pPr>
      <w:r>
        <w:rPr>
          <w:lang w:val="el" w:eastAsia="el"/>
        </w:rPr>
        <w:t xml:space="preserve">7. </w:t>
      </w:r>
      <w:r>
        <w:rPr>
          <w:b/>
          <w:bCs/>
          <w:lang w:val="el" w:eastAsia="el"/>
        </w:rPr>
        <w:t>Διεύθυνση Προϋπολογισμού και Δημοσιονομικών Αναφορών ΓΔΟΤΥ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