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Ι.ΥΠΟΥΡΓΕΙΟ ΕΘΝΙΚΗΣ ΟΙΚΟΝΟΜΙΑΣ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ΓΡΑΦΕΙΟ ΥΦΥΠΟΥΡΓΟΥ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ΕΦΑΡΜΟΓΗΣ ΦΟΡΟΛΟΓΙΑΣ ΚΕΦΑΛΑΙΟΥ ΚΑΙ ΠΕΡΙΟΥΣΙΟΛΟΓΙΟΥ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180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177 78 Ταύρος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deef.a@aade.gr</w:t>
        </w:r>
      </w:hyperlink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Θέμα: «Τροποποίηση της υπό στοιχεία Α.1013/13.01.2020 απόφασης του Υφυπουργού Οικονομικών «Καθορισμός διαδικασίας διακανονισμού έκπτωσης ΦΠΑ για ακίνητα που έχουν υπαχθεί σε καθεστώς αναστολής εφαρμογής ΦΠΑ», (Β΄87)»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ΑΠΟΦΑΣΗΟ ΥΦΥΠΟΥΡΓΟΣ ΕΘΝΙΚΗΣ 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α)</w:t>
      </w:r>
      <w:r>
        <w:rPr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των παρ. 1,3,4 και την περ. γ΄ της παρ. 7 του άρθρου 70 και την παρ. 7 του άρθρου 36 του Κώδικα ΦΠΑ (ν. 5144/2024 Α΄ 162 ).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του ν. 5104/2024 «Κώδικας Φορολογικής Διαδικασίας και άλλες διατάξεις» (Α΄58),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Τα π.δ. 79/2023 «Διορισμός Υπουργών, Αναπληρωτών Υπουργών και Υφυπουργών» (Α΄ 131) και 32/2024 «Διορισμός Υπουργών και Υφυπουργών» (Α΄ 91).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Την υπό στοιχεία 84913 ΕΞ 2024/17.6.2024 κοινή απόφαση του Πρωθυπουργού και του Υπουργού Εθνικής Οικονομίας και Οικονομικών «Ανάθεση αρμοδιοτήτων στον Υφυπουργό Εθνικής Οικονομίας και Οικονομικών, Χρίστο Δήμα» (Β΄3472).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Το π.δ. 142/2017 «Οργανισμός Υπουργείου Οικονομικών» (Α΄ 181).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5. </w:t>
      </w:r>
      <w:r>
        <w:rPr>
          <w:b/>
          <w:bCs/>
          <w:u w:val="single"/>
          <w:lang w:val="el" w:eastAsia="el"/>
        </w:rPr>
        <w:t>Την υπό στοιχεία Δ.ΟΡΓ.Α 1125859 ΕΞ/23-10-2020 απόφαση του Διοικητή της Ανεξάρτητης Αρχής Δημοσίων Εσόδων «Οργανισμός της Ανεξάρτητης Αρχής Δημοσίων Εσόδων (Α.Α.Δ.Ε.)» (Β' 4738).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6. </w:t>
      </w:r>
      <w:r>
        <w:rPr>
          <w:b/>
          <w:bCs/>
          <w:u w:val="single"/>
          <w:lang w:val="el" w:eastAsia="el"/>
        </w:rPr>
        <w:t>Την υπό στοιχεία Δ.ΟΡΓ.Α. 1065199 ΕΞ/20-72022 απόφαση του Διοικητή της Ανεξάρτητης Αρχής Δημοσίων Εσόδων «Μεταβίβαση αρμοδιοτήτων και εξουσιοδότηση υπογραφής «Με εντολή Διοικητή» σε όργανα της Φορολογικής Διοίκησης», (Β’ 3886)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7. </w:t>
      </w:r>
      <w:r>
        <w:rPr>
          <w:b/>
          <w:bCs/>
          <w:u w:val="single"/>
          <w:lang w:val="el" w:eastAsia="el"/>
        </w:rPr>
        <w:t>Την ανάγκη καθορισμού της διαδικασίας για τον διακανονισμό έκπτωσης ΦΠΑ για ακίνητα που έχουν υπαχθεί σε καθεστώς αναστολής εφαρμογής ΦΠΑ στην παράδοσή τους.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8. </w:t>
      </w:r>
      <w:r>
        <w:rPr>
          <w:b/>
          <w:bCs/>
          <w:u w:val="single"/>
          <w:lang w:val="el" w:eastAsia="el"/>
        </w:rPr>
        <w:t>Το γεγονός ότι, από τις διατάξεις της παρούσας απόφασης,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παρ. 3 του άρθρου 1 της υπό στοιχεία Α. 1013/13.01.2020 (Β΄87) απόφασης του Υφυπουργού Οικονομικών τροποποιείται και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«3 </w:t>
      </w:r>
      <w:r>
        <w:rPr>
          <w:b/>
          <w:bCs/>
          <w:u w:val="single"/>
          <w:lang w:val="el" w:eastAsia="el"/>
        </w:rPr>
        <w:t>. Η έκτακτη δήλωση υποβάλλεται σε τρία αντίτυπα με χρήση του εντύπου της Δήλωσης ΦΠΑ Φ2 050 στην αρμόδια Δ.Ο.Υ. ή το ΚΕ.ΦΟ.Δ.Ε. στη χωρική αρμοδιότητα της/ου οποίας/ου βρίσκεται το ακίνητο , ψηφιακά μέσω της εφαρμογής Ψηφιακής Υποδοχής και Διαχείρισης Αιτημάτων της ΑΑΔΕ «Τα αιτήματά μου», η οποία είναι διαθέσιμη μέσω της ψηφιακής πύλης «myAADE» (myaade.gov.gr).»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απόφαση αυτή να δημοσιευθεί στην Εφημερίδα της Κυβερνήσεως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Υφυπουργός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Χ.ΔΗΜΑΣ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Αποδέκτες Πίνακα Γ’, πλην αριθμ. 2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Διεύθυνση Στρατηγικής Τεχνολογιών Πληροφορικής για ανάρτηση στην ιστοσελίδα της ΑΑΔΕ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Διεύθυνση Επικοινωνίας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Ηλεκτρονικη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8"/>
        <w:gridCol w:w="381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Αποδέκτες Πίνακα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 μόνο οι αριθμ. 1 και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Αποδέκτες Πίνακα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Αποδέκτες Πίνακα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Γ΄, μόνο ο αριθμ. 2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4. » » Ζ΄.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437"/>
        <w:gridCol w:w="437"/>
        <w:gridCol w:w="394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 μόνο οι αριθμ 13,19,20.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ΙΒ, ΙΖ, ΙΗ, Κ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8. </w:t>
      </w:r>
      <w:r>
        <w:rPr>
          <w:b/>
          <w:bCs/>
          <w:u w:val="single"/>
          <w:lang w:val="el" w:eastAsia="el"/>
        </w:rPr>
        <w:t>Εθνικό Τυπογραφείο μετά την δημοσίευση σε ΦΕΚ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9. </w:t>
      </w:r>
      <w:r>
        <w:rPr>
          <w:b/>
          <w:bCs/>
          <w:u w:val="single"/>
          <w:lang w:val="el" w:eastAsia="el"/>
        </w:rPr>
        <w:t>Γραφείο Υπουργού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10. </w:t>
      </w:r>
      <w:r>
        <w:rPr>
          <w:b/>
          <w:bCs/>
          <w:u w:val="single"/>
          <w:lang w:val="el" w:eastAsia="el"/>
        </w:rPr>
        <w:t>Γραφείο Υφυπουργού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11. </w:t>
      </w:r>
      <w:r>
        <w:rPr>
          <w:b/>
          <w:bCs/>
          <w:u w:val="single"/>
          <w:lang w:val="el" w:eastAsia="el"/>
        </w:rPr>
        <w:t>Γραφείο Γεν. Γραμματέα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12. </w:t>
      </w:r>
      <w:r>
        <w:rPr>
          <w:b/>
          <w:bCs/>
          <w:u w:val="single"/>
          <w:lang w:val="el" w:eastAsia="el"/>
        </w:rPr>
        <w:t>Διεύθυνση Φορολογικής Πολιτικής της Γενικής Γραμματείας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Γραφείο Διοικητή ΑΑΔΕ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Γραφείο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Διεύθυνση Εφαρμογής Έμμεσης Φορολογίας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5. </w:t>
      </w:r>
      <w:r>
        <w:rPr>
          <w:b/>
          <w:bCs/>
          <w:u w:val="single"/>
          <w:lang w:val="el" w:eastAsia="el"/>
        </w:rPr>
        <w:t>Διεύθυνση Εφαρμογής Φορολογίας Κεφαλαίου και Περιουσιολογίου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