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330790</w:t>
      </w:r>
    </w:p>
    <w:p>
      <w:pPr>
        <w:pStyle w:val="PreambelText"/>
        <w:spacing w:before="240" w:after="240"/>
        <w:rPr>
          <w:lang w:val="el" w:eastAsia="el"/>
        </w:rPr>
      </w:pPr>
      <w:r>
        <w:rPr>
          <w:b/>
          <w:bCs/>
          <w:lang w:val="el" w:eastAsia="el"/>
        </w:rPr>
        <w:t>Καθορισμός τελών που καταβάλλονται στον «ΕΛΛΗΝΙΚΟ ΓΕΩΡΓΙΚΟ ΟΡΓΑΝΙΣΜΟ-ΔΗΜΗΤΡΑ» (ΕΛ.Γ.Ο.-ΔΗΜΗΤΡΑ) για τις υπηρεσίες αναγνώρισης και επίβλεψης ιδιωτικών Φορέων πιστοποίησης γεωργικών προϊόντων ή συστημάτων.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5035/2023 «Ενιαίο ρυθμιστικό πλαίσιο για την οργάνωση και λειτουργία του Ελληνικού Γεωργικού Οργανισμού - ΔΗΜΗΤΡΑ, σύσταση και λειτουργία φορέα διαχείρισης Παραδοσιακού Ελαιώνα Άμφισσας και άλλες διατάξεις για την ενίσχυση της αγροτικής ανάπτυξης» (Α’ 76) και ιδίως της παρ. 7 του άρθρου 24 αυτού,</w:t>
      </w:r>
    </w:p>
    <w:p>
      <w:pPr>
        <w:pStyle w:val="StructureList1"/>
        <w:spacing w:before="120" w:after="0"/>
        <w:rPr>
          <w:lang w:val="el" w:eastAsia="el"/>
        </w:rPr>
      </w:pPr>
      <w:r>
        <w:rPr>
          <w:lang w:val="el" w:eastAsia="el"/>
        </w:rPr>
        <w:t>β)</w:t>
      </w:r>
      <w:r>
        <w:rPr>
          <w:lang w:val="en" w:eastAsia="en"/>
        </w:rPr>
        <w:tab/>
      </w:r>
      <w:r>
        <w:rPr>
          <w:lang w:val="el" w:eastAsia="el"/>
        </w:rPr>
        <w:t>της υπ’ αρ. 267623/2007 κοινής απόφασης των Υπουργών Οικονομίας και Οικονομικών και Αγροτικής Ανάπτυξης και Τροφίμων «Καθορισμός πλαισίου επίβλεψης ιδιωτικών φορέων πιστοποίησης γεωργικών προϊόντων ή συστημάτων και εγγραφής σε επίσημο μητρώο τηρούμενο από τον Ο.Π.Ε.ΓΕ.Π.» (Β’ 1723) και ειδικότερα το άρθρο 14 αυτής,</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π.δ. 97/2017 «Οργανισμός του Υπουργείου Αγροτικής Ανάπτυξης και Τροφίμων» (Α’ 138).</w:t>
      </w:r>
    </w:p>
    <w:p>
      <w:pPr>
        <w:pStyle w:val="PreambelText"/>
        <w:spacing w:before="240" w:after="240"/>
        <w:rPr>
          <w:lang w:val="el" w:eastAsia="el"/>
        </w:rPr>
      </w:pPr>
      <w:r>
        <w:rPr>
          <w:lang w:val="el" w:eastAsia="el"/>
        </w:rPr>
        <w:t>4. Το π.δ. 32/2024 «Διορισμός Υπουργών, Αναπληρωτών Υπουργών και Υφυπουργών» (Α’ 91).</w:t>
      </w:r>
    </w:p>
    <w:p>
      <w:pPr>
        <w:pStyle w:val="PreambelText"/>
        <w:spacing w:before="240" w:after="240"/>
        <w:rPr>
          <w:lang w:val="el" w:eastAsia="el"/>
        </w:rPr>
      </w:pPr>
      <w:r>
        <w:rPr>
          <w:lang w:val="el" w:eastAsia="el"/>
        </w:rPr>
        <w:t>5.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6. Την υπό στοιχεία 102928 ΕΞ 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7. Την υπ’ αρ. 188763/2011 κοινή απόφαση των Υπουργών Οικονομικών και Αγροτικής Ανάπτυξης και Τροφίμων «Σύσταση Οργανισμού “ΕΛΛΗΝΙΚΟΣ ΓΕΩΡΓΙΚΟΣ ΟΡ- ΓΑΝΙΣΜΟΣ-ΔΗΜΗΤΡΑ” και συγχώνευση εποπτευόμενων από το Υπουργείο Αγροτικής Ανάπτυξης και Τροφίμων νομικών προσώπων» (Β’ 2284).</w:t>
      </w:r>
    </w:p>
    <w:p>
      <w:pPr>
        <w:pStyle w:val="PreambelText"/>
        <w:spacing w:before="240" w:after="240"/>
        <w:rPr>
          <w:lang w:val="el" w:eastAsia="el"/>
        </w:rPr>
      </w:pPr>
      <w:r>
        <w:rPr>
          <w:lang w:val="el" w:eastAsia="el"/>
        </w:rPr>
        <w:t>8. Την υπ’ αρ. 78/7η/30-06-2022 απόφαση του Διοικητικού Συμβουλίου του ΕΛ.Γ.Ο.-ΔΗΜΗΤΡΑ, όπως διαβιβάστηκε με το υπ’ αρ. 38593/12-07-2022 έγγραφο αυτού.</w:t>
      </w:r>
    </w:p>
    <w:p>
      <w:pPr>
        <w:pStyle w:val="PreambelText"/>
        <w:spacing w:before="240" w:after="240"/>
        <w:rPr>
          <w:lang w:val="el" w:eastAsia="el"/>
        </w:rPr>
      </w:pPr>
      <w:r>
        <w:rPr>
          <w:lang w:val="el" w:eastAsia="el"/>
        </w:rPr>
        <w:t>9. Την υπ’ αρ. 2202/329451/29.10.2024 εισήγηση του Προϊσταμένου της Γενικής Διεύθυνσης Οικονομικών Υπηρεσιών του Υπουργείου Αγροτικής Αναπτυξης και Τροφίμων.</w:t>
      </w:r>
    </w:p>
    <w:p>
      <w:pPr>
        <w:pStyle w:val="PreambelText"/>
        <w:spacing w:before="240" w:after="240"/>
        <w:rPr>
          <w:lang w:val="el" w:eastAsia="el"/>
        </w:rPr>
      </w:pPr>
      <w:r>
        <w:rPr>
          <w:lang w:val="el" w:eastAsia="el"/>
        </w:rPr>
        <w:t>10. Το γεγονός ότι, από την έκδοση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Καθορισμός τελών</w:t>
      </w:r>
    </w:p>
    <w:p>
      <w:pPr>
        <w:spacing w:before="240" w:after="240"/>
        <w:rPr>
          <w:lang w:val="el" w:eastAsia="el"/>
        </w:rPr>
      </w:pPr>
      <w:r>
        <w:rPr>
          <w:lang w:val="el" w:eastAsia="el"/>
        </w:rPr>
        <w:t>Καθορίζουμε τα προβλεπόμενα στην παρ. 7 του άρθρου 24 του ν. 5035/2023 τέλη, τα οποία καταβάλλονται στον Ελληνικό Γεωργικό Οργανισμό ΔΗΜΗΤΡΑ (ΕΛ.Γ.Ο.- ΔΗΜΗΤΡΑ) από ιδιωτικούς Φορείς πιστοποίησης γεωργικών προϊόντων ή συστημάτων για τις υπηρεσίες αναγνώρισης και επίβλεψης αυτών, ως ακολούθως:</w:t>
      </w:r>
    </w:p>
    <w:p>
      <w:pPr>
        <w:pStyle w:val="StructureList1"/>
        <w:spacing w:before="120" w:after="0"/>
        <w:rPr>
          <w:lang w:val="el" w:eastAsia="el"/>
        </w:rPr>
      </w:pPr>
      <w:r>
        <w:rPr>
          <w:lang w:val="el" w:eastAsia="el"/>
        </w:rPr>
        <w:t>α)</w:t>
      </w:r>
      <w:r>
        <w:rPr>
          <w:lang w:val="en" w:eastAsia="en"/>
        </w:rPr>
        <w:tab/>
      </w:r>
      <w:r>
        <w:rPr>
          <w:lang w:val="el" w:eastAsia="el"/>
        </w:rPr>
        <w:t>Ο υπολογισμός του τέλους των υπηρεσιών του ΕΛ.Γ.Ο.-ΔΗΜΗΤΡΑ για την αναγνώριση και επίβλεψη των Φορέων πιστοποίησης γεωργικών προϊόντων ή συστημάτων τιμολογείται με βάση τις ανθρωποημέρες (ΑΗ), που απαιτούνται για κάθε στάδιο της διαδικασίας αναγνώρισης και επίβλεψης.</w:t>
      </w:r>
    </w:p>
    <w:p>
      <w:pPr>
        <w:pStyle w:val="StructureList1"/>
        <w:spacing w:before="120" w:after="0"/>
        <w:rPr>
          <w:lang w:val="el" w:eastAsia="el"/>
        </w:rPr>
      </w:pPr>
      <w:r>
        <w:rPr>
          <w:lang w:val="el" w:eastAsia="el"/>
        </w:rPr>
        <w:t>β)</w:t>
      </w:r>
      <w:r>
        <w:rPr>
          <w:lang w:val="en" w:eastAsia="en"/>
        </w:rPr>
        <w:tab/>
      </w:r>
      <w:r>
        <w:rPr>
          <w:lang w:val="el" w:eastAsia="el"/>
        </w:rPr>
        <w:t>Ως ανθρωποημέρα (ΑΗ) ορίζεται η μία (1) ημέρα απασχόλησης κάθε μέλους της Επιτροπής Αναγνώρισης και Επίβλεψης, που προβλέπεται στην παρ. 4 του άρθρου 6 της υπ’ αρ. 267623/29-08-2007 κοινής υπουργικής απόφασης, όπως τροποποιήθηκε και ισχύει.</w:t>
      </w:r>
    </w:p>
    <w:p>
      <w:pPr>
        <w:pStyle w:val="StructureList1"/>
        <w:spacing w:before="120" w:after="0"/>
        <w:rPr>
          <w:lang w:val="el" w:eastAsia="el"/>
        </w:rPr>
      </w:pPr>
      <w:r>
        <w:rPr>
          <w:lang w:val="el" w:eastAsia="el"/>
        </w:rPr>
        <w:t>γ)</w:t>
      </w:r>
      <w:r>
        <w:rPr>
          <w:lang w:val="en" w:eastAsia="en"/>
        </w:rPr>
        <w:tab/>
      </w:r>
      <w:r>
        <w:rPr>
          <w:lang w:val="el" w:eastAsia="el"/>
        </w:rPr>
        <w:t>Ως πεδίο εγγραφής νοείται κάθε πρότυπο ΑGRO (είτε μέρος της ίδιας σειράς, είτε όχι), στην πιστοποίηση του οποίου επιθυμεί να δραστηριοποιηθεί ο Φορέας (π.χ. AGRO 2-3, 2-4, 2-5, 8, 9, 10 κ.λπ.) με εξαίρεση το</w:t>
      </w:r>
    </w:p>
    <w:p>
      <w:pPr>
        <w:spacing w:before="240" w:after="240"/>
        <w:rPr>
          <w:lang w:val="el" w:eastAsia="el"/>
        </w:rPr>
      </w:pPr>
      <w:r>
        <w:rPr>
          <w:lang w:val="el" w:eastAsia="el"/>
        </w:rPr>
        <w:t>AGRO 2-1, το οποίο εφαρμόζεται πάντα σε συνδυασμό με το πρότυπο AGRO 2-2 και λογίζονται ως ένα ενιαίο μέρος δηλαδή ως ένα πεδίο εγγραφής.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Ανθρωποημέρες αναγνώρισης και επίβλεψης</w:t>
      </w:r>
    </w:p>
    <w:p>
      <w:pPr>
        <w:pStyle w:val="MainText"/>
        <w:spacing w:before="120" w:after="0"/>
        <w:rPr>
          <w:lang w:val="el" w:eastAsia="el"/>
        </w:rPr>
      </w:pPr>
      <w:r>
        <w:rPr>
          <w:b/>
          <w:bCs/>
          <w:lang w:val="el" w:eastAsia="el"/>
        </w:rPr>
        <w:t>1.</w:t>
      </w:r>
      <w:r>
        <w:rPr>
          <w:lang w:val="el" w:eastAsia="el"/>
        </w:rPr>
        <w:t xml:space="preserve"> Ανθρωποημέρες (ΑΗ) αναγνώρισης Φορέα:</w:t>
      </w:r>
    </w:p>
    <w:p>
      <w:pPr>
        <w:pStyle w:val="StructureList1"/>
        <w:spacing w:before="120" w:after="0"/>
        <w:rPr>
          <w:lang w:val="el" w:eastAsia="el"/>
        </w:rPr>
      </w:pPr>
      <w:r>
        <w:rPr>
          <w:lang w:val="el" w:eastAsia="el"/>
        </w:rPr>
        <w:t>α)</w:t>
      </w:r>
      <w:r>
        <w:rPr>
          <w:lang w:val="en" w:eastAsia="en"/>
        </w:rPr>
        <w:tab/>
      </w:r>
      <w:r>
        <w:rPr>
          <w:lang w:val="el" w:eastAsia="el"/>
        </w:rPr>
        <w:t>Ο αριθμός των απαιτούμενων ανθρωποημερών (ΑΗ) για την αναγνώριση του Φορέα πιστοποίησης γεωργικών προϊόντων ή συστημάτων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84"/>
        <w:gridCol w:w="2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Στάδιο Αναγνώρισης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Ανθρωποημερών (ΑΗ)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val="0"/>
                <w:bCs w:val="0"/>
                <w:i w:val="0"/>
                <w:iCs w:val="0"/>
                <w:smallCaps w:val="0"/>
                <w:color w:val="000000"/>
                <w:lang w:val="el" w:eastAsia="el"/>
              </w:rPr>
              <w:t>Αξιολόγηση αίτησης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ii)</w:t>
            </w:r>
            <w:r>
              <w:rPr>
                <w:b w:val="0"/>
                <w:bCs w:val="0"/>
                <w:i w:val="0"/>
                <w:iCs w:val="0"/>
                <w:smallCaps w:val="0"/>
                <w:color w:val="000000"/>
                <w:lang w:val="en" w:eastAsia="en"/>
              </w:rPr>
              <w:tab/>
            </w:r>
            <w:r>
              <w:rPr>
                <w:b w:val="0"/>
                <w:bCs w:val="0"/>
                <w:i w:val="0"/>
                <w:iCs w:val="0"/>
                <w:smallCaps w:val="0"/>
                <w:color w:val="000000"/>
                <w:lang w:val="el" w:eastAsia="el"/>
              </w:rPr>
              <w:t>Επιθεώρηση στην έδρα και τις περιφερειακές μονάδες του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iii)</w:t>
            </w:r>
            <w:r>
              <w:rPr>
                <w:b w:val="0"/>
                <w:bCs w:val="0"/>
                <w:i w:val="0"/>
                <w:iCs w:val="0"/>
                <w:smallCaps w:val="0"/>
                <w:color w:val="000000"/>
                <w:lang w:val="en" w:eastAsia="en"/>
              </w:rPr>
              <w:tab/>
            </w:r>
            <w:r>
              <w:rPr>
                <w:b w:val="0"/>
                <w:bCs w:val="0"/>
                <w:i w:val="0"/>
                <w:iCs w:val="0"/>
                <w:smallCaps w:val="0"/>
                <w:color w:val="000000"/>
                <w:lang w:val="el" w:eastAsia="el"/>
              </w:rPr>
              <w:t>Επιθεώρηση στις επιχειρήσεις / εκμεταλλεύσεις του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iv)</w:t>
            </w:r>
            <w:r>
              <w:rPr>
                <w:b w:val="0"/>
                <w:bCs w:val="0"/>
                <w:i w:val="0"/>
                <w:iCs w:val="0"/>
                <w:smallCaps w:val="0"/>
                <w:color w:val="000000"/>
                <w:lang w:val="en" w:eastAsia="en"/>
              </w:rPr>
              <w:tab/>
            </w:r>
            <w:r>
              <w:rPr>
                <w:b w:val="0"/>
                <w:bCs w:val="0"/>
                <w:i w:val="0"/>
                <w:iCs w:val="0"/>
                <w:smallCaps w:val="0"/>
                <w:color w:val="000000"/>
                <w:lang w:val="el" w:eastAsia="el"/>
              </w:rPr>
              <w:t>Ολοκλήρωση διαδικασίας επιθεώρησης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bl>
    <w:p>
      <w:pPr>
        <w:pStyle w:val="StructureList1"/>
        <w:spacing w:before="120" w:after="0"/>
        <w:rPr>
          <w:lang w:val="el" w:eastAsia="el"/>
        </w:rPr>
      </w:pPr>
      <w:r>
        <w:rPr>
          <w:lang w:val="el" w:eastAsia="el"/>
        </w:rPr>
        <w:t>β)</w:t>
      </w:r>
      <w:r>
        <w:rPr>
          <w:lang w:val="en" w:eastAsia="en"/>
        </w:rPr>
        <w:tab/>
      </w:r>
      <w:r>
        <w:rPr>
          <w:lang w:val="el" w:eastAsia="el"/>
        </w:rPr>
        <w:t>Σε περίπτωση που ο Φορέας υποβάλλει αίτηση αναγνώρισης με πεδία εγγραφής τα διαφορετικά μέρη της ίδιας σειράς προτύπων (π.χ. σειρά AGRO 2) για κάθε επιπλέον αναγνώριση διαφορετικού μέρους προτύπου πέραν του ενός (π.χ. AGRO 2-3 και AGRO 2-4), απαιτούνται δύο (2) ανθρωποημέρες (ΑΗ).</w:t>
      </w:r>
    </w:p>
    <w:p>
      <w:pPr>
        <w:pStyle w:val="StructureList1"/>
        <w:spacing w:before="120" w:after="0"/>
        <w:rPr>
          <w:lang w:val="el" w:eastAsia="el"/>
        </w:rPr>
      </w:pPr>
      <w:r>
        <w:rPr>
          <w:lang w:val="el" w:eastAsia="el"/>
        </w:rPr>
        <w:t>γ)</w:t>
      </w:r>
      <w:r>
        <w:rPr>
          <w:lang w:val="en" w:eastAsia="en"/>
        </w:rPr>
        <w:tab/>
      </w:r>
      <w:r>
        <w:rPr>
          <w:lang w:val="el" w:eastAsia="el"/>
        </w:rPr>
        <w:t>Σε περίπτωση που ο Φορέας υποβάλλει ταυτόχρονα αίτηση αναγνώρισης σε περισσότερα από ένα πεδία εγγραφής, για κάθε επιπλέον πεδίο εγγραφής οι ανθρωποημέρες (ΑΗ) που απαιτούνται, μειώνονται κατά πενήντα τοις εκατό (50%) σε σχέση με το σύνολο των ανθρωποημερών του ανωτέρω πίνακα. Στην περίπτωση που η αίτηση αναγνώρισης δεν υποβληθεί ταυτόχρονα για όλα τα πεδία εγγραφής, δεν ισχύει η ως άνω μείωση του 50%. Επίσης, η μείωση αυτή δεν ισχύει στις αιτήσεις αναγνώρισης με πεδία εγγραφής τα διαφορετικά μέρη της ίδιας σειράς προτύπων, όπου προβλέπεται το κόστος της περ. β, της παρ. 1 του παρόντος άρθρου.</w:t>
      </w:r>
    </w:p>
    <w:p>
      <w:pPr>
        <w:pStyle w:val="StructureList1"/>
        <w:spacing w:before="120" w:after="0"/>
        <w:rPr>
          <w:lang w:val="el" w:eastAsia="el"/>
        </w:rPr>
      </w:pPr>
      <w:r>
        <w:rPr>
          <w:lang w:val="el" w:eastAsia="el"/>
        </w:rPr>
        <w:t>δ)</w:t>
      </w:r>
      <w:r>
        <w:rPr>
          <w:lang w:val="en" w:eastAsia="en"/>
        </w:rPr>
        <w:tab/>
      </w:r>
      <w:r>
        <w:rPr>
          <w:lang w:val="el" w:eastAsia="el"/>
        </w:rPr>
        <w:t>Σε περίπτωση που ο Φορέας υποβάλλει ταυτόχρονα αίτηση αναγνώρισης σε περισσότερα πεδία εγγραφής, στο πεδίο που καλύπτει τα περισσότερα Στάδια Αναγνώρισης τιμολογείται με το συνολικό αριθμό ανθρωποημερών και στα πλέον αυτού πεδία τιμολογείται με τη μείωση του 50%, όπως προβλέπεται στην περ. γ, της παρ. 1 του παρόντος άρθρου.</w:t>
      </w:r>
    </w:p>
    <w:p>
      <w:pPr>
        <w:pStyle w:val="StructureList1"/>
        <w:spacing w:before="120" w:after="0"/>
        <w:rPr>
          <w:lang w:val="el" w:eastAsia="el"/>
        </w:rPr>
      </w:pPr>
      <w:r>
        <w:rPr>
          <w:lang w:val="el" w:eastAsia="el"/>
        </w:rPr>
        <w:t>ε)</w:t>
      </w:r>
      <w:r>
        <w:rPr>
          <w:lang w:val="en" w:eastAsia="en"/>
        </w:rPr>
        <w:tab/>
      </w:r>
      <w:r>
        <w:rPr>
          <w:lang w:val="el" w:eastAsia="el"/>
        </w:rPr>
        <w:t>Σε περίπτωση που ο Φορέας δεν διαθέτει επιχειρήσεις/εκμεταλλεύσεις κατά το Στάδιο Αναγνώρισης ενός πεδίου, τότε ο αριθμός των ανθρωποημερών του σημείου (iii), της περ. α, της παρ. 1 του παρόντος άρθρου τιμολογείται με την ένταξη της πρώτης επιχείρησης/εκμετάλλευσης, που θα αξιολογήσει ο Φορέας εντός της ετήσιας προσωρινής αναγνώρισής του. Η τιμολόγηση αυτή δεν ισχύει στην περ. β, της παρ. 1 του παρόντος άρθρου.</w:t>
      </w:r>
    </w:p>
    <w:p>
      <w:pPr>
        <w:pStyle w:val="StructureList1"/>
        <w:spacing w:before="120" w:after="0"/>
        <w:rPr>
          <w:lang w:val="el" w:eastAsia="el"/>
        </w:rPr>
      </w:pPr>
      <w:r>
        <w:rPr>
          <w:lang w:val="el" w:eastAsia="el"/>
        </w:rPr>
        <w:t>ζ)</w:t>
      </w:r>
      <w:r>
        <w:rPr>
          <w:lang w:val="en" w:eastAsia="en"/>
        </w:rPr>
        <w:tab/>
      </w:r>
      <w:r>
        <w:rPr>
          <w:lang w:val="el" w:eastAsia="el"/>
        </w:rPr>
        <w:t>Στην περίπτωση της ανανέωσης της αναγνώρισης του Φορέα (χωρίς να έχει μεσολαβήσει κενό αναγνώρισης), δεν καταβάλλονται εκ νέου τα τέλη αναγνώρισης της περ. α, της παρ. 1 του παρόντος άρθρου.</w:t>
      </w:r>
    </w:p>
    <w:p>
      <w:pPr>
        <w:pStyle w:val="MainText"/>
        <w:spacing w:before="120" w:after="0"/>
        <w:rPr>
          <w:lang w:val="el" w:eastAsia="el"/>
        </w:rPr>
      </w:pPr>
      <w:r>
        <w:rPr>
          <w:b/>
          <w:bCs/>
          <w:lang w:val="el" w:eastAsia="el"/>
        </w:rPr>
        <w:t>2.</w:t>
      </w:r>
      <w:r>
        <w:rPr>
          <w:lang w:val="el" w:eastAsia="el"/>
        </w:rPr>
        <w:t xml:space="preserve"> Ανθρωποημέρες (ΑΗ) επίβλεψης Φορέα:</w:t>
      </w:r>
    </w:p>
    <w:p>
      <w:pPr>
        <w:pStyle w:val="StructureList1"/>
        <w:spacing w:before="120" w:after="0"/>
        <w:rPr>
          <w:lang w:val="el" w:eastAsia="el"/>
        </w:rPr>
      </w:pPr>
      <w:r>
        <w:rPr>
          <w:lang w:val="el" w:eastAsia="el"/>
        </w:rPr>
        <w:t>α)</w:t>
      </w:r>
      <w:r>
        <w:rPr>
          <w:lang w:val="en" w:eastAsia="en"/>
        </w:rPr>
        <w:tab/>
      </w:r>
      <w:r>
        <w:rPr>
          <w:lang w:val="el" w:eastAsia="el"/>
        </w:rPr>
        <w:t>Ο αριθμός των απαιτούμενων ανθρωποημερών (ΑΗ) για την επίβλεψη των Φορέων πιστοποίησης γεωργικών προϊόντων ή συστημάτων, καθώς και των ετήσιων τελών για τη διενέργεια των ελέγχων και των εργαστηριακών αναλύσεων, που προβλέπονται στο άρθρο 12 της υπ’ αρ. 267623/29-08-2007 κοινής υπουργικής απόφασης, η τήρηση των μητρώων που προβλέπονται στα άρθρα 10 και 11 της προαναφερθείσας απόφασης, καθώς και η διαχείριση του σήματος πιστοποίησης που προβλέπεται στο άρθρο 13 αυτής, καθορίζονται σύμφωνα με το συνολικό αριθμό των πιστοποιητικών, που έχει εκδώσει ο Φορέας για επιχειρήσεις/εκμεταλλεύσεις για όλα τα πεδία εγγραφής, στα οποία έχει αναγνωρισθεί,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75"/>
        <w:gridCol w:w="2289"/>
        <w:gridCol w:w="22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Στάδιο Επίβλεψης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Πιστοποιητικών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Ανθρωποημερών (ΑΗ)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val="0"/>
                <w:bCs w:val="0"/>
                <w:i w:val="0"/>
                <w:iCs w:val="0"/>
                <w:smallCaps w:val="0"/>
                <w:color w:val="000000"/>
                <w:lang w:val="el" w:eastAsia="el"/>
              </w:rPr>
              <w:t>Ετήσια τέλη επίβλεψης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έως 49</w:t>
            </w:r>
          </w:p>
          <w:p>
            <w:pPr>
              <w:spacing w:before="240" w:after="240"/>
              <w:rPr>
                <w:b w:val="0"/>
                <w:bCs w:val="0"/>
                <w:i w:val="0"/>
                <w:iCs w:val="0"/>
                <w:smallCaps w:val="0"/>
                <w:color w:val="000000"/>
                <w:lang w:val="el" w:eastAsia="el"/>
              </w:rPr>
            </w:pPr>
            <w:r>
              <w:rPr>
                <w:b w:val="0"/>
                <w:bCs w:val="0"/>
                <w:i w:val="0"/>
                <w:iCs w:val="0"/>
                <w:smallCaps w:val="0"/>
                <w:color w:val="000000"/>
                <w:lang w:val="el" w:eastAsia="el"/>
              </w:rPr>
              <w:t>50 έως 149</w:t>
            </w:r>
          </w:p>
          <w:p>
            <w:pPr>
              <w:spacing w:before="240"/>
              <w:rPr>
                <w:b w:val="0"/>
                <w:bCs w:val="0"/>
                <w:i w:val="0"/>
                <w:iCs w:val="0"/>
                <w:smallCaps w:val="0"/>
                <w:color w:val="000000"/>
                <w:lang w:val="el" w:eastAsia="el"/>
              </w:rPr>
            </w:pPr>
            <w:r>
              <w:rPr>
                <w:b w:val="0"/>
                <w:bCs w:val="0"/>
                <w:i w:val="0"/>
                <w:iCs w:val="0"/>
                <w:smallCaps w:val="0"/>
                <w:color w:val="000000"/>
                <w:lang w:val="el" w:eastAsia="el"/>
              </w:rPr>
              <w:t>150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ii)</w:t>
            </w:r>
            <w:r>
              <w:rPr>
                <w:b w:val="0"/>
                <w:bCs w:val="0"/>
                <w:i w:val="0"/>
                <w:iCs w:val="0"/>
                <w:smallCaps w:val="0"/>
                <w:color w:val="000000"/>
                <w:lang w:val="en" w:eastAsia="en"/>
              </w:rPr>
              <w:tab/>
            </w:r>
            <w:r>
              <w:rPr>
                <w:b w:val="0"/>
                <w:bCs w:val="0"/>
                <w:i w:val="0"/>
                <w:iCs w:val="0"/>
                <w:smallCaps w:val="0"/>
                <w:color w:val="000000"/>
                <w:lang w:val="el" w:eastAsia="el"/>
              </w:rPr>
              <w:t>Επιθεώρηση στην έδρα και τις περιφερειακές μονάδες του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έως 49</w:t>
            </w:r>
          </w:p>
          <w:p>
            <w:pPr>
              <w:spacing w:before="240" w:after="240"/>
              <w:rPr>
                <w:b w:val="0"/>
                <w:bCs w:val="0"/>
                <w:i w:val="0"/>
                <w:iCs w:val="0"/>
                <w:smallCaps w:val="0"/>
                <w:color w:val="000000"/>
                <w:lang w:val="el" w:eastAsia="el"/>
              </w:rPr>
            </w:pPr>
            <w:r>
              <w:rPr>
                <w:b w:val="0"/>
                <w:bCs w:val="0"/>
                <w:i w:val="0"/>
                <w:iCs w:val="0"/>
                <w:smallCaps w:val="0"/>
                <w:color w:val="000000"/>
                <w:lang w:val="el" w:eastAsia="el"/>
              </w:rPr>
              <w:t>50 έως 149</w:t>
            </w:r>
          </w:p>
          <w:p>
            <w:pPr>
              <w:spacing w:before="240"/>
              <w:rPr>
                <w:b w:val="0"/>
                <w:bCs w:val="0"/>
                <w:i w:val="0"/>
                <w:iCs w:val="0"/>
                <w:smallCaps w:val="0"/>
                <w:color w:val="000000"/>
                <w:lang w:val="el" w:eastAsia="el"/>
              </w:rPr>
            </w:pPr>
            <w:r>
              <w:rPr>
                <w:b w:val="0"/>
                <w:bCs w:val="0"/>
                <w:i w:val="0"/>
                <w:iCs w:val="0"/>
                <w:smallCaps w:val="0"/>
                <w:color w:val="000000"/>
                <w:lang w:val="el" w:eastAsia="el"/>
              </w:rPr>
              <w:t>150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iii)</w:t>
            </w:r>
            <w:r>
              <w:rPr>
                <w:b w:val="0"/>
                <w:bCs w:val="0"/>
                <w:i w:val="0"/>
                <w:iCs w:val="0"/>
                <w:smallCaps w:val="0"/>
                <w:color w:val="000000"/>
                <w:lang w:val="en" w:eastAsia="en"/>
              </w:rPr>
              <w:tab/>
            </w:r>
            <w:r>
              <w:rPr>
                <w:b w:val="0"/>
                <w:bCs w:val="0"/>
                <w:i w:val="0"/>
                <w:iCs w:val="0"/>
                <w:smallCaps w:val="0"/>
                <w:color w:val="000000"/>
                <w:lang w:val="el" w:eastAsia="el"/>
              </w:rPr>
              <w:t>Επιθεώρηση στις επιχειρήσεις / εκμεταλλεύσεις του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έως 49</w:t>
            </w:r>
          </w:p>
          <w:p>
            <w:pPr>
              <w:spacing w:before="240" w:after="240"/>
              <w:rPr>
                <w:b w:val="0"/>
                <w:bCs w:val="0"/>
                <w:i w:val="0"/>
                <w:iCs w:val="0"/>
                <w:smallCaps w:val="0"/>
                <w:color w:val="000000"/>
                <w:lang w:val="el" w:eastAsia="el"/>
              </w:rPr>
            </w:pPr>
            <w:r>
              <w:rPr>
                <w:b w:val="0"/>
                <w:bCs w:val="0"/>
                <w:i w:val="0"/>
                <w:iCs w:val="0"/>
                <w:smallCaps w:val="0"/>
                <w:color w:val="000000"/>
                <w:lang w:val="el" w:eastAsia="el"/>
              </w:rPr>
              <w:t>50 έως 149</w:t>
            </w:r>
          </w:p>
          <w:p>
            <w:pPr>
              <w:spacing w:before="240"/>
              <w:rPr>
                <w:b w:val="0"/>
                <w:bCs w:val="0"/>
                <w:i w:val="0"/>
                <w:iCs w:val="0"/>
                <w:smallCaps w:val="0"/>
                <w:color w:val="000000"/>
                <w:lang w:val="el" w:eastAsia="el"/>
              </w:rPr>
            </w:pPr>
            <w:r>
              <w:rPr>
                <w:b w:val="0"/>
                <w:bCs w:val="0"/>
                <w:i w:val="0"/>
                <w:iCs w:val="0"/>
                <w:smallCaps w:val="0"/>
                <w:color w:val="000000"/>
                <w:lang w:val="el" w:eastAsia="el"/>
              </w:rPr>
              <w:t>150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iv)</w:t>
            </w:r>
            <w:r>
              <w:rPr>
                <w:b w:val="0"/>
                <w:bCs w:val="0"/>
                <w:i w:val="0"/>
                <w:iCs w:val="0"/>
                <w:smallCaps w:val="0"/>
                <w:color w:val="000000"/>
                <w:lang w:val="en" w:eastAsia="en"/>
              </w:rPr>
              <w:tab/>
            </w:r>
            <w:r>
              <w:rPr>
                <w:b w:val="0"/>
                <w:bCs w:val="0"/>
                <w:i w:val="0"/>
                <w:iCs w:val="0"/>
                <w:smallCaps w:val="0"/>
                <w:color w:val="000000"/>
                <w:lang w:val="el" w:eastAsia="el"/>
              </w:rPr>
              <w:t>Ολοκλήρωση διαδικασίας επιθεώρησης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έως 49</w:t>
            </w:r>
          </w:p>
          <w:p>
            <w:pPr>
              <w:spacing w:before="240" w:after="240"/>
              <w:rPr>
                <w:b w:val="0"/>
                <w:bCs w:val="0"/>
                <w:i w:val="0"/>
                <w:iCs w:val="0"/>
                <w:smallCaps w:val="0"/>
                <w:color w:val="000000"/>
                <w:lang w:val="el" w:eastAsia="el"/>
              </w:rPr>
            </w:pPr>
            <w:r>
              <w:rPr>
                <w:b w:val="0"/>
                <w:bCs w:val="0"/>
                <w:i w:val="0"/>
                <w:iCs w:val="0"/>
                <w:smallCaps w:val="0"/>
                <w:color w:val="000000"/>
                <w:lang w:val="el" w:eastAsia="el"/>
              </w:rPr>
              <w:t>50 έως 149</w:t>
            </w:r>
          </w:p>
          <w:p>
            <w:pPr>
              <w:spacing w:before="240"/>
              <w:rPr>
                <w:b w:val="0"/>
                <w:bCs w:val="0"/>
                <w:i w:val="0"/>
                <w:iCs w:val="0"/>
                <w:smallCaps w:val="0"/>
                <w:color w:val="000000"/>
                <w:lang w:val="el" w:eastAsia="el"/>
              </w:rPr>
            </w:pPr>
            <w:r>
              <w:rPr>
                <w:b w:val="0"/>
                <w:bCs w:val="0"/>
                <w:i w:val="0"/>
                <w:iCs w:val="0"/>
                <w:smallCaps w:val="0"/>
                <w:color w:val="000000"/>
                <w:lang w:val="el" w:eastAsia="el"/>
              </w:rPr>
              <w:t>150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w:t>
            </w:r>
          </w:p>
          <w:p>
            <w:pPr>
              <w:spacing w:before="240" w:after="240"/>
              <w:rPr>
                <w:b w:val="0"/>
                <w:bCs w:val="0"/>
                <w:i w:val="0"/>
                <w:iCs w:val="0"/>
                <w:smallCaps w:val="0"/>
                <w:color w:val="000000"/>
                <w:lang w:val="el" w:eastAsia="el"/>
              </w:rPr>
            </w:pPr>
            <w:r>
              <w:rPr>
                <w:b w:val="0"/>
                <w:bCs w:val="0"/>
                <w:i w:val="0"/>
                <w:iCs w:val="0"/>
                <w:smallCaps w:val="0"/>
                <w:color w:val="000000"/>
                <w:lang w:val="el" w:eastAsia="el"/>
              </w:rPr>
              <w:t>15</w:t>
            </w:r>
          </w:p>
          <w:p>
            <w:pPr>
              <w:spacing w:before="240"/>
              <w:rPr>
                <w:b w:val="0"/>
                <w:bCs w:val="0"/>
                <w:i w:val="0"/>
                <w:iCs w:val="0"/>
                <w:smallCaps w:val="0"/>
                <w:color w:val="000000"/>
                <w:lang w:val="el" w:eastAsia="el"/>
              </w:rPr>
            </w:pPr>
            <w:r>
              <w:rPr>
                <w:b w:val="0"/>
                <w:bCs w:val="0"/>
                <w:i w:val="0"/>
                <w:iCs w:val="0"/>
                <w:smallCaps w:val="0"/>
                <w:color w:val="000000"/>
                <w:lang w:val="el" w:eastAsia="el"/>
              </w:rPr>
              <w:t>21</w:t>
            </w:r>
          </w:p>
        </w:tc>
      </w:tr>
    </w:tbl>
    <w:p>
      <w:pPr>
        <w:pStyle w:val="StructureList1"/>
        <w:spacing w:before="120" w:after="0"/>
        <w:rPr>
          <w:lang w:val="el" w:eastAsia="el"/>
        </w:rPr>
      </w:pPr>
      <w:r>
        <w:rPr>
          <w:lang w:val="el" w:eastAsia="el"/>
        </w:rPr>
        <w:t>β)</w:t>
      </w:r>
      <w:r>
        <w:rPr>
          <w:lang w:val="en" w:eastAsia="en"/>
        </w:rPr>
        <w:tab/>
      </w:r>
      <w:r>
        <w:rPr>
          <w:lang w:val="el" w:eastAsia="el"/>
        </w:rPr>
        <w:t>Σε περίπτωση που ο Φορέας έχει αναγνωρισθεί σε περισσότερα από ένα πεδία εγγραφής, για κάθε επιπλέον πεδίο εγγραφής απαιτούνται δύο (2) συνολικά ανθρωποημέρες (ΑΗ), ως εξής:</w:t>
      </w:r>
    </w:p>
    <w:p>
      <w:pPr>
        <w:spacing w:before="240" w:after="240"/>
        <w:rPr>
          <w:lang w:val="el" w:eastAsia="el"/>
        </w:rPr>
      </w:pPr>
      <w:r>
        <w:rPr>
          <w:lang w:val="el" w:eastAsia="el"/>
        </w:rPr>
        <w:t>α: αριθμός ανθρωποημερών επίβλεψης φορέα ανάλογα με τον αριθμό πιστοποιητικών για όλα τα πεδία.</w:t>
      </w:r>
    </w:p>
    <w:p>
      <w:pPr>
        <w:spacing w:before="240" w:after="240"/>
        <w:rPr>
          <w:lang w:val="el" w:eastAsia="el"/>
        </w:rPr>
      </w:pPr>
      <w:r>
        <w:rPr>
          <w:lang w:val="el" w:eastAsia="el"/>
        </w:rPr>
        <w:t>β: αριθμός επιπλέον πεδίων επί (x) 2.</w:t>
      </w:r>
    </w:p>
    <w:p>
      <w:pPr>
        <w:spacing w:before="240" w:after="240"/>
        <w:rPr>
          <w:lang w:val="el" w:eastAsia="el"/>
        </w:rPr>
      </w:pPr>
      <w:r>
        <w:rPr>
          <w:lang w:val="el" w:eastAsia="el"/>
        </w:rPr>
        <w:t>γ: τιμή της ανθρωποημέρας (ΑΗ).</w:t>
      </w:r>
    </w:p>
    <w:p>
      <w:pPr>
        <w:spacing w:before="240" w:after="240"/>
        <w:rPr>
          <w:lang w:val="el" w:eastAsia="el"/>
        </w:rPr>
      </w:pPr>
      <w:r>
        <w:rPr>
          <w:lang w:val="el" w:eastAsia="el"/>
        </w:rPr>
        <w:t>Σ: συνολικό κόστος.</w:t>
      </w:r>
    </w:p>
    <w:p>
      <w:pPr>
        <w:spacing w:before="240" w:after="240"/>
        <w:rPr>
          <w:lang w:val="el" w:eastAsia="el"/>
        </w:rPr>
      </w:pPr>
      <w:r>
        <w:rPr>
          <w:lang w:val="el" w:eastAsia="el"/>
        </w:rPr>
        <w:t>Ο υπολογισμός του συνολικού κόστους επίβλεψης προκύπτει από τον τύπο:</w:t>
      </w:r>
    </w:p>
    <w:p>
      <w:pPr>
        <w:spacing w:before="240" w:after="240"/>
        <w:rPr>
          <w:lang w:val="el" w:eastAsia="el"/>
        </w:rPr>
      </w:pPr>
      <w:r>
        <w:rPr>
          <w:lang w:val="el" w:eastAsia="el"/>
        </w:rPr>
        <w:t>Σ= (α+β) x γ</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Τιμή Ανθρωποημέρας</w:t>
      </w:r>
    </w:p>
    <w:p>
      <w:pPr>
        <w:spacing w:before="240" w:after="240"/>
        <w:rPr>
          <w:lang w:val="el" w:eastAsia="el"/>
        </w:rPr>
      </w:pPr>
      <w:r>
        <w:rPr>
          <w:lang w:val="el" w:eastAsia="el"/>
        </w:rPr>
        <w:t>Η τιμή της ανθρωποημέρας (ΑΗ) ορίζεται στο ποσό των τετρακοσίων (400,00) ευρώ.</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Οικονομικοί Όροι</w:t>
      </w:r>
    </w:p>
    <w:p>
      <w:pPr>
        <w:pStyle w:val="MainText"/>
        <w:spacing w:before="120" w:after="0"/>
        <w:rPr>
          <w:lang w:val="el" w:eastAsia="el"/>
        </w:rPr>
      </w:pPr>
      <w:r>
        <w:rPr>
          <w:b/>
          <w:bCs/>
          <w:lang w:val="el" w:eastAsia="el"/>
        </w:rPr>
        <w:t>1.</w:t>
      </w:r>
      <w:r>
        <w:rPr>
          <w:lang w:val="el" w:eastAsia="el"/>
        </w:rPr>
        <w:t xml:space="preserve"> Τα τέλη της παρούσας απόφασης καταβάλλονται στο λογαριασμό του ΕΛ.Γ.Ο.-ΔΗΜΗΤΡΑ, που τηρείται στην Τράπεζα Πειραιώς με αναγραφή επί του αποδεικτικού κατάθεσης της επωνυμίας του Φορέα και την αιτιολόγηση «Τέλη Αναγνώρισης» ή «Τέλη Επίβλεψης» κατά περίπτωση.</w:t>
      </w:r>
    </w:p>
    <w:p>
      <w:pPr>
        <w:pStyle w:val="MainText"/>
        <w:spacing w:before="120" w:after="0"/>
        <w:rPr>
          <w:lang w:val="el" w:eastAsia="el"/>
        </w:rPr>
      </w:pPr>
      <w:r>
        <w:rPr>
          <w:b/>
          <w:bCs/>
          <w:lang w:val="el" w:eastAsia="el"/>
        </w:rPr>
        <w:t>2.</w:t>
      </w:r>
      <w:r>
        <w:rPr>
          <w:lang w:val="el" w:eastAsia="el"/>
        </w:rPr>
        <w:t xml:space="preserve"> Τα τέλη για την αξιολόγηση της αίτησης κατά το στάδιο της αναγνώρισης (σημείο (i), περ. α, παρ. 1, άρθρο 2 της παρούσας) καταβάλλονται στον ΕΛ.Γ.Ο.-ΔΗΜΗΤΡΑ με την υποβολή της αίτησης.</w:t>
      </w:r>
    </w:p>
    <w:p>
      <w:pPr>
        <w:pStyle w:val="MainText"/>
        <w:spacing w:before="120" w:after="0"/>
        <w:rPr>
          <w:lang w:val="el" w:eastAsia="el"/>
        </w:rPr>
      </w:pPr>
      <w:r>
        <w:rPr>
          <w:b/>
          <w:bCs/>
          <w:lang w:val="el" w:eastAsia="el"/>
        </w:rPr>
        <w:t>3.</w:t>
      </w:r>
      <w:r>
        <w:rPr>
          <w:lang w:val="el" w:eastAsia="el"/>
        </w:rPr>
        <w:t xml:space="preserve"> Τα τέλη για την επιθεώρηση κατά το στάδιο της αναγνώρισης στην έδρα και στις περιφερειακές μονάδες, καθώς και στις επιχειρήσεις/εκμεταλλεύσεις του Φορέα (σημεία (ii), (iii), (iv), περ. α, παρ. 1, άρθρο 2 της παρούσας) καταβάλλονται με την ολοκλήρωση της επιθεώρησης και την κατάθεση της έκθεσης επιθεώρησης από την Επιτροπή Αναγνώρισης και Επίβλεψης σύμφωνα με την παρ. 2.7.1. του άρθρου 7 της υπ’ αρ. 267623/29-08-2007 κοινής υπουργικής απόφασης.</w:t>
      </w:r>
    </w:p>
    <w:p>
      <w:pPr>
        <w:pStyle w:val="MainText"/>
        <w:spacing w:before="120" w:after="0"/>
        <w:rPr>
          <w:lang w:val="el" w:eastAsia="el"/>
        </w:rPr>
      </w:pPr>
      <w:r>
        <w:rPr>
          <w:b/>
          <w:bCs/>
          <w:lang w:val="el" w:eastAsia="el"/>
        </w:rPr>
        <w:t>4.</w:t>
      </w:r>
      <w:r>
        <w:rPr>
          <w:lang w:val="el" w:eastAsia="el"/>
        </w:rPr>
        <w:t xml:space="preserve"> Τα ετήσια τέλη για την επιθεώρηση κατά το στάδιο της επίβλεψης στην έδρα, στις περιφερειακές μονάδες και στις επιχειρήσεις/εκμεταλλεύσεις του Φορέα (σημεία (i) (ii), (iii), (iv), περ. α, παρ. 2, άρθρο 2 της παρούσας) καταβάλλονται έως τις 31 Ιανουαρίου του επόμενου ημερολογιακού έτους.</w:t>
      </w:r>
    </w:p>
    <w:p>
      <w:pPr>
        <w:pStyle w:val="MainText"/>
        <w:spacing w:before="120" w:after="0"/>
        <w:rPr>
          <w:lang w:val="el" w:eastAsia="el"/>
        </w:rPr>
      </w:pPr>
      <w:r>
        <w:rPr>
          <w:b/>
          <w:bCs/>
          <w:lang w:val="el" w:eastAsia="el"/>
        </w:rPr>
        <w:t>5.</w:t>
      </w:r>
      <w:r>
        <w:rPr>
          <w:lang w:val="el" w:eastAsia="el"/>
        </w:rPr>
        <w:t xml:space="preserve"> Η μη εκπλήρωση των οικονομικών υποχρεώσεων του Φορέα κατά τη διαδικασία αναγνώρισης, επιφέρει τη διακοπή της διαδικασίας αναγνώρισής του ύστερα από εισήγηση του Διοικητικού Συμβουλίου του ΕΛ.ΓΟ.- ΔΗΜΗΤΡΑ.</w:t>
      </w:r>
    </w:p>
    <w:p>
      <w:pPr>
        <w:pStyle w:val="MainText"/>
        <w:spacing w:before="120" w:after="0"/>
        <w:rPr>
          <w:lang w:val="el" w:eastAsia="el"/>
        </w:rPr>
      </w:pPr>
      <w:r>
        <w:rPr>
          <w:b/>
          <w:bCs/>
          <w:lang w:val="el" w:eastAsia="el"/>
        </w:rPr>
        <w:t>6.</w:t>
      </w:r>
      <w:r>
        <w:rPr>
          <w:lang w:val="el" w:eastAsia="el"/>
        </w:rPr>
        <w:t xml:space="preserve"> Η μη εκπλήρωση των οικονομικών υποχρεώσεων του αναγνωρισμένου Φορέα συμπεριλαμβανομένων της μη τήρησης του τυχόν συμφωνηθέντος νόμιμου διακανονισμού, καθώς και της περίπτωσης της βεβαίωσης των οφειλών στην αρμόδια ΔΟY, επιφέρουν τη διακοπή της διαδικασίας αναγνώρισής του ή/και την ανάκληση της άδειας αναγνώρισης, που έχει χορηγηθεί ύστερα από εισήγηση του Διοικητικού Συμβουλίου του ΕΛ.Γ.Ο.- ΔΗΜΗΤΡΑ.</w:t>
      </w:r>
    </w:p>
    <w:p>
      <w:pPr>
        <w:pStyle w:val="MainText"/>
        <w:spacing w:before="120" w:after="0"/>
        <w:rPr>
          <w:lang w:val="el" w:eastAsia="el"/>
        </w:rPr>
      </w:pPr>
      <w:r>
        <w:rPr>
          <w:b/>
          <w:bCs/>
          <w:lang w:val="el" w:eastAsia="el"/>
        </w:rPr>
        <w:t>7.</w:t>
      </w:r>
      <w:r>
        <w:rPr>
          <w:lang w:val="el" w:eastAsia="el"/>
        </w:rPr>
        <w:t xml:space="preserve"> Τα τέλη αναγνώρισης δεν επιστρέφονται ανεξάρτητα από την έκβαση της διαδικασίας αναγνώρισης του Φορέα.</w:t>
      </w:r>
    </w:p>
    <w:p>
      <w:pPr>
        <w:pStyle w:val="MainText"/>
        <w:spacing w:before="120" w:after="0"/>
        <w:rPr>
          <w:lang w:val="el" w:eastAsia="el"/>
        </w:rPr>
      </w:pPr>
      <w:r>
        <w:rPr>
          <w:b/>
          <w:bCs/>
          <w:lang w:val="el" w:eastAsia="el"/>
        </w:rPr>
        <w:t>8.</w:t>
      </w:r>
      <w:r>
        <w:rPr>
          <w:lang w:val="el" w:eastAsia="el"/>
        </w:rPr>
        <w:t xml:space="preserve"> Σε περίπτωση ανάκλησης της αναγνώρισης του Φορέα πραγματοποιείται εκκαθάριση των οικονομικών υποχρεώσεων αυτού με βάση τα δωδεκατημόρια των τελών επίβλεψης. Τυχόν πιστωτικό ή χρεωστικό υπόλοιπο βαρύνει τον ΕΛ.Γ.Ο.-ΔΗΜΗΤΡΑ ή τον Φορέα αντίστοιχα.</w:t>
      </w:r>
    </w:p>
    <w:p>
      <w:pPr>
        <w:pStyle w:val="MainText"/>
        <w:spacing w:before="120" w:after="0"/>
        <w:rPr>
          <w:lang w:val="el" w:eastAsia="el"/>
        </w:rPr>
      </w:pPr>
      <w:r>
        <w:rPr>
          <w:b/>
          <w:bCs/>
          <w:lang w:val="el" w:eastAsia="el"/>
        </w:rPr>
        <w:t>9.</w:t>
      </w:r>
      <w:r>
        <w:rPr>
          <w:lang w:val="el" w:eastAsia="el"/>
        </w:rPr>
        <w:t xml:space="preserve"> Τα παραπάνω τέλη επιβαρύνονται με Φ.Π.Α. με τον εκάστοτε ισχύοντα συντελεστή και ο φόρος αποδίδεται από τον ΕΛ.Γ.Ο.-ΔΗΜΗΤΡΑ στο Δημόσιο, σύμφωνα με τις διατάξεις των άρθρων 16, 36 και 38 του ν. 2859/2000 με θέμα «Κύρωση Κώδικα Φόρου Προστιθέμενης Αξίας» (Α’ 248), όπως τροποποιήθηκε και ισχύει.</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 δημοσίευση της παρούσας απόφασης καταργείται η υπ’ αρ. 132519/2011 (Β’ 744) κοινή απόφαση των Υφυπουργών Οικονομικών και Αγροτικής Ανάπτυξης και Τροφίμων.</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τίθεται σε ισχύ από την ημερομηνία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Οκτωβρίου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Αγροτικής Ανάπτυξης και Οικονομικών και Τροφίμων</w:t>
      </w:r>
    </w:p>
    <w:p>
      <w:pPr>
        <w:spacing w:before="240" w:after="240"/>
        <w:rPr>
          <w:lang w:val="el" w:eastAsia="el"/>
        </w:rPr>
      </w:pPr>
      <w:r>
        <w:rPr>
          <w:b/>
          <w:bCs/>
          <w:lang w:val="el" w:eastAsia="el"/>
        </w:rPr>
        <w:t>ΑΘΑΝΑΣΙΟΣ ΠΕΤΡΑΛΙΑΣ 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