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80425</w:t>
      </w:r>
    </w:p>
    <w:p>
      <w:pPr>
        <w:pStyle w:val="PreambelText"/>
        <w:spacing w:before="240" w:after="240"/>
        <w:rPr>
          <w:lang w:val="el" w:eastAsia="el"/>
        </w:rPr>
      </w:pPr>
      <w:r>
        <w:rPr>
          <w:b/>
          <w:bCs/>
          <w:lang w:val="el" w:eastAsia="el"/>
        </w:rPr>
        <w:t>Τροποποίηση της υπ’ αρ. 43962/4.6.2024 κοινής απόφασης των Υπουργών Εθνικής Οικονομίας και Οικονομικών, Εσωτερικών, Τουρισμού, Ψηφιακής Διακυβέρνησης και Κλιματικής Κρίσης και Πολιτικής Προστασίας «Ειδική εφαρμογή του Thessaly και του Evros Pass βάσει του άρθρου 37 του ν. 5086/2024 (Α’ 23) Καθορισμός των τεχνικών και οργανωτικών μέτρων για τη λειτουργία της ειδικής εφαρμογής και για την υλοποίηση της Δράσης» (Β’ 3172).</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ΕΣΩΤΕΡΙΚΩΝ - ΤΟΥΡΙΣΜΟΥ - ΨΗΦΙΑΚΗΣ ΔΙΑΚΥΒΕΡΝΗΣΗΣ - 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6Β και 13 καθώς και της παρ. 1.Α του άρθρου 22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w:t>
      </w:r>
    </w:p>
    <w:p>
      <w:pPr>
        <w:pStyle w:val="StructureList1"/>
        <w:spacing w:before="120" w:after="0"/>
        <w:rPr>
          <w:lang w:val="el" w:eastAsia="el"/>
        </w:rPr>
      </w:pPr>
      <w:r>
        <w:rPr>
          <w:lang w:val="el" w:eastAsia="el"/>
        </w:rPr>
        <w:t>β)</w:t>
      </w:r>
      <w:r>
        <w:rPr>
          <w:lang w:val="en" w:eastAsia="en"/>
        </w:rPr>
        <w:tab/>
      </w:r>
      <w:r>
        <w:rPr>
          <w:lang w:val="el" w:eastAsia="el"/>
        </w:rPr>
        <w:t>του ν. 5140/2024 «Νέο Αναπτυξιακό Πρόγραμμα Δημοσίων Επενδύσεων και συμπληρωματικές διατάξεις» (Α’ 154),</w:t>
      </w:r>
    </w:p>
    <w:p>
      <w:pPr>
        <w:pStyle w:val="StructureList1"/>
        <w:spacing w:before="120" w:after="0"/>
        <w:rPr>
          <w:lang w:val="el" w:eastAsia="el"/>
        </w:rPr>
      </w:pPr>
      <w:r>
        <w:rPr>
          <w:lang w:val="el" w:eastAsia="el"/>
        </w:rPr>
        <w:t>γ)</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στ)</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των άρθρων 47 και 58 αυτού,</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περ.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των παρ. 3 και 4 του άρθρου 3 του Κώδικα Διοικητικής Διαδικασίας και άλλες διατάξεις (ν. 2690/1999, Α’ 45), θ) 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ι)</w:t>
      </w:r>
      <w:r>
        <w:rPr>
          <w:lang w:val="en" w:eastAsia="en"/>
        </w:rPr>
        <w:tab/>
      </w:r>
      <w:r>
        <w:rPr>
          <w:lang w:val="el" w:eastAsia="el"/>
        </w:rPr>
        <w:t>του άρθρου 1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άρθρου 58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ιβ)</w:t>
      </w:r>
      <w:r>
        <w:rPr>
          <w:lang w:val="en" w:eastAsia="en"/>
        </w:rPr>
        <w:tab/>
      </w:r>
      <w:r>
        <w:rPr>
          <w:lang w:val="el" w:eastAsia="el"/>
        </w:rPr>
        <w:t>της υπ’ αρ. 3/29.3.2021 (Α’ 56) ΠΥΣ περί σύστασης και λειτουργίας της ΚΕΚΑ,</w:t>
      </w:r>
    </w:p>
    <w:p>
      <w:pPr>
        <w:pStyle w:val="StructureList1"/>
        <w:spacing w:before="120" w:after="0"/>
        <w:rPr>
          <w:lang w:val="el" w:eastAsia="el"/>
        </w:rPr>
      </w:pPr>
      <w:r>
        <w:rPr>
          <w:lang w:val="el" w:eastAsia="el"/>
        </w:rPr>
        <w:t>ιγ)</w:t>
      </w:r>
      <w:r>
        <w:rPr>
          <w:lang w:val="en" w:eastAsia="en"/>
        </w:rPr>
        <w:tab/>
      </w:r>
      <w:r>
        <w:rPr>
          <w:lang w:val="el" w:eastAsia="el"/>
        </w:rPr>
        <w:t>του π.δ. 32/2024 «Διορισμός Υπουργών και Υφυπουργών» (Α’ 99),</w:t>
      </w:r>
    </w:p>
    <w:p>
      <w:pPr>
        <w:pStyle w:val="StructureList1"/>
        <w:spacing w:before="120" w:after="0"/>
        <w:rPr>
          <w:lang w:val="el" w:eastAsia="el"/>
        </w:rPr>
      </w:pPr>
      <w:r>
        <w:rPr>
          <w:lang w:val="el" w:eastAsia="el"/>
        </w:rPr>
        <w:t>ιδ)</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ιε)</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ως ισχύει,</w:t>
      </w:r>
    </w:p>
    <w:p>
      <w:pPr>
        <w:pStyle w:val="StructureList1"/>
        <w:spacing w:before="120" w:after="0"/>
        <w:rPr>
          <w:lang w:val="el" w:eastAsia="el"/>
        </w:rPr>
      </w:pPr>
      <w:r>
        <w:rPr>
          <w:lang w:val="el" w:eastAsia="el"/>
        </w:rPr>
        <w:t>ιστ)</w:t>
      </w:r>
      <w:r>
        <w:rPr>
          <w:lang w:val="en" w:eastAsia="en"/>
        </w:rPr>
        <w:tab/>
      </w:r>
      <w:r>
        <w:rPr>
          <w:lang w:val="el" w:eastAsia="el"/>
        </w:rPr>
        <w:t>του π.δ. 82/2023 «Μετονομασία Υπουργείου - Σύσταση και μετονομοσία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ιζ)</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ιη)</w:t>
      </w:r>
      <w:r>
        <w:rPr>
          <w:lang w:val="en" w:eastAsia="en"/>
        </w:rPr>
        <w:tab/>
      </w:r>
      <w:r>
        <w:rPr>
          <w:lang w:val="el" w:eastAsia="el"/>
        </w:rPr>
        <w:t>του π.δ. 40/2020 «Οργανισμός του Υπουργείου Ψηφιακής Διακυβέρνησης» (Α’ 85),</w:t>
      </w:r>
    </w:p>
    <w:p>
      <w:pPr>
        <w:pStyle w:val="PreambelText"/>
        <w:spacing w:before="240" w:after="240"/>
        <w:rPr>
          <w:lang w:val="el" w:eastAsia="el"/>
        </w:rPr>
      </w:pPr>
      <w:r>
        <w:rPr>
          <w:lang w:val="el" w:eastAsia="el"/>
        </w:rPr>
        <w:t>ιθ του π.δ. 127/2017 «Οργανισμός του Υπουργείου Τουρισμού»(Α’ 157),</w:t>
      </w:r>
    </w:p>
    <w:p>
      <w:pPr>
        <w:pStyle w:val="StructureList1"/>
        <w:spacing w:before="120" w:after="0"/>
        <w:rPr>
          <w:lang w:val="el" w:eastAsia="el"/>
        </w:rPr>
      </w:pPr>
      <w:r>
        <w:rPr>
          <w:lang w:val="el" w:eastAsia="el"/>
        </w:rPr>
        <w:t>κ)</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κα)</w:t>
      </w:r>
      <w:r>
        <w:rPr>
          <w:lang w:val="en" w:eastAsia="en"/>
        </w:rPr>
        <w:tab/>
      </w:r>
      <w:r>
        <w:rPr>
          <w:lang w:val="el" w:eastAsia="el"/>
        </w:rPr>
        <w:t>του π.δ. 133/2017 «Οργανισμός του Υπουργείου Διοικητικής Ανασυγκρότησης» (Α’ 161) και</w:t>
      </w:r>
    </w:p>
    <w:p>
      <w:pPr>
        <w:pStyle w:val="StructureList1"/>
        <w:spacing w:before="120" w:after="0"/>
        <w:rPr>
          <w:lang w:val="el" w:eastAsia="el"/>
        </w:rPr>
      </w:pPr>
      <w:r>
        <w:rPr>
          <w:lang w:val="el" w:eastAsia="el"/>
        </w:rPr>
        <w:t>κβ)</w:t>
      </w:r>
      <w:r>
        <w:rPr>
          <w:lang w:val="en" w:eastAsia="en"/>
        </w:rPr>
        <w:tab/>
      </w:r>
      <w:r>
        <w:rPr>
          <w:lang w:val="el" w:eastAsia="el"/>
        </w:rPr>
        <w:t>του π.δ. 141/2017 «Οργανισμός Υπουργείου Εσωτερικών» (Α’ 180).</w:t>
      </w:r>
    </w:p>
    <w:p>
      <w:pPr>
        <w:pStyle w:val="PreambelText"/>
        <w:spacing w:before="240" w:after="240"/>
        <w:rPr>
          <w:lang w:val="el" w:eastAsia="el"/>
        </w:rPr>
      </w:pPr>
      <w:r>
        <w:rPr>
          <w:lang w:val="el" w:eastAsia="el"/>
        </w:rPr>
        <w:t>2. Το καταστατικό της ΕΔΥΤΕ, τροποποιημένο και κωδικοποιημένο με την απόφαση της από 09/09/2024 Τακτικής Γενικής Συνέλευσης (Πρακτικό 58), όπως καταχωρήθηκε στο ΓΕΜΗ την 25/09/2024 με Κωδικό Καταχώρισης 4459529, σύμφωνα με την από 25/09/2024 και με αριθμ. πρωτ. 3381099 Ανακοίνωση Καταχώρισης του ΕΒΕΑ.</w:t>
      </w:r>
    </w:p>
    <w:p>
      <w:pPr>
        <w:pStyle w:val="PreambelText"/>
        <w:spacing w:before="240" w:after="240"/>
        <w:rPr>
          <w:lang w:val="el" w:eastAsia="el"/>
        </w:rPr>
      </w:pPr>
      <w:r>
        <w:rPr>
          <w:lang w:val="el" w:eastAsia="el"/>
        </w:rPr>
        <w:t>3. Tην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pStyle w:val="PreambelText"/>
        <w:spacing w:before="240" w:after="240"/>
        <w:rPr>
          <w:lang w:val="el" w:eastAsia="el"/>
        </w:rPr>
      </w:pPr>
      <w:r>
        <w:rPr>
          <w:lang w:val="el" w:eastAsia="el"/>
        </w:rPr>
        <w:t>4.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5. Tην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6.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7. Την υπ’ αρ. 3981/25.2.2020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8. Την υπό στοιχεία 24596 ΕΞ/18.05.2023 κοινή απόφαση του Υπουργού Επικρατείας και του Υφυπουργού Ψηφιακής Διακυβέρνησης «Αντικατάσταση της υπ’ αρ. 6810 ΕΞ 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9. Τις από 21.3.2024, από 8.4.2024, από 29.4.2024, από 31.5.2024 και από 5.9.2024 εισηγήσεις της Κυβερνητικής Επιτροπής Κρατικής Αρωγής (Κ.Ε.Κ.Α).</w:t>
      </w:r>
    </w:p>
    <w:p>
      <w:pPr>
        <w:pStyle w:val="PreambelText"/>
        <w:spacing w:before="240" w:after="240"/>
        <w:rPr>
          <w:lang w:val="el" w:eastAsia="el"/>
        </w:rPr>
      </w:pPr>
      <w:r>
        <w:rPr>
          <w:lang w:val="el" w:eastAsia="el"/>
        </w:rPr>
        <w:t>10. Το υπ’ αρ. 15133/21.10.2024 της Τράπεζας Eurobank A.E. με την οποία πιστοποιείται ότι το αδιάθετο ποσό που προέκυψε από την Φάση 1 του Thessaly Evros Pass ανέρχεται συνολικά στο ποσό των 703.381,04 ευρώ, ποσό το οποίο και επέστρεψε μέσω τραπεζικού εμβάσματος αυθημερόν στους λογαριασμούς του Φορέα Υλοποίησης κατ’ εφαρμογή της παρ. 7 του άρθρου 12 «Προθεσμίες και συνολική διάρκεια του προγράμματος» της υπ’ αρ. 43962/4.6.2024 (Β’ 3172) κοινής υπουργικής απόφασης.</w:t>
      </w:r>
    </w:p>
    <w:p>
      <w:pPr>
        <w:pStyle w:val="PreambelText"/>
        <w:spacing w:before="240" w:after="240"/>
        <w:rPr>
          <w:lang w:val="el" w:eastAsia="el"/>
        </w:rPr>
      </w:pPr>
      <w:r>
        <w:rPr>
          <w:lang w:val="el" w:eastAsia="el"/>
        </w:rPr>
        <w:t>11. Το γεγονός ότι με την παρούσα δεν προκαλείται επιπλέον δημοσιονομική επιβάρυνση εις βάρος των πιστώσεων του προϋπολογισμού του ΠΔΕ και του Μ.Π.Δ.Σ. πέραν της αναφερόμενης στην τροποποιούμενη κοινή υπουργική απόφαση,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Την προσθήκη της παρ. 1.Α στο άρθρο 3 «Οικονομική ενίσχυση και επιμερισμός» της υπ’ αρ. 43962/4.6.2024 κοινής υπουργικής απόφασης, η οποία έχει ως εξής:</w:t>
      </w:r>
    </w:p>
    <w:p>
      <w:pPr>
        <w:spacing w:before="240" w:after="240"/>
        <w:rPr>
          <w:lang w:val="el" w:eastAsia="el"/>
        </w:rPr>
      </w:pPr>
      <w:r>
        <w:rPr>
          <w:lang w:val="el" w:eastAsia="el"/>
        </w:rPr>
        <w:t>«1.Α. Ειδικά για τους δικαιούχους της Φάσης 3 ισχύουν τα κάτωθι:</w:t>
      </w:r>
    </w:p>
    <w:p>
      <w:pPr>
        <w:spacing w:before="240" w:after="240"/>
        <w:rPr>
          <w:lang w:val="el" w:eastAsia="el"/>
        </w:rPr>
      </w:pPr>
      <w:r>
        <w:rPr>
          <w:lang w:val="el" w:eastAsia="el"/>
        </w:rPr>
        <w:t>α) για τους δικαιούχους του προγράμματος“ThessalyPassΑ 2024” που θα επιλέξουν ως προορισμό τις επιλεγμένες περιοχές, όπως μνημονεύονται στο συνημμένο παράρτημα Α που αποτελεί αναπόσπαστο μέρος της παρούσας, η ενίσχυση ανέρχεται σε εκατόν ογδόντα ευρώ (180,00€)</w:t>
      </w:r>
    </w:p>
    <w:p>
      <w:pPr>
        <w:spacing w:before="240" w:after="240"/>
        <w:rPr>
          <w:lang w:val="el" w:eastAsia="el"/>
        </w:rPr>
      </w:pPr>
      <w:r>
        <w:rPr>
          <w:lang w:val="el" w:eastAsia="el"/>
        </w:rPr>
        <w:t>β) για τους δικαιούχους του προγράμματος “ThessalyPassΒ 2024” που θα επιλέξουν ως προορισμό τις επιλεγμένες περιοχές, όπως μνημονεύονται στο συνημμένο παράρτημα Β που αποτελεί αναπόσπαστο μέρος της παρούσας, η ενίσχυση ανέρχεται σε εκατόν ογδόντα ευρώ (180,00€) και</w:t>
      </w:r>
    </w:p>
    <w:p>
      <w:pPr>
        <w:spacing w:before="240" w:after="240"/>
        <w:rPr>
          <w:lang w:val="el" w:eastAsia="el"/>
        </w:rPr>
      </w:pPr>
      <w:r>
        <w:rPr>
          <w:lang w:val="el" w:eastAsia="el"/>
        </w:rPr>
        <w:t>γ) για τους δικαιούχους του προγράμματος “Evros Pass 2024” που θα επιλέξουν ως προορισμό τις επιλεγμένες περιοχές, όπως μνημονεύονται στο συνημμένο παράρτημα Γ που αποτελεί αναπόσπαστο μέρος της παρούσας, η ενίσχυση ανέρχεται σε διακόσια είκοσι ευρώ (220,00€).».</w:t>
      </w:r>
    </w:p>
    <w:p>
      <w:pPr>
        <w:pStyle w:val="MainText"/>
        <w:spacing w:before="120" w:after="0"/>
        <w:rPr>
          <w:lang w:val="el" w:eastAsia="el"/>
        </w:rPr>
      </w:pPr>
      <w:r>
        <w:rPr>
          <w:b/>
          <w:bCs/>
          <w:lang w:val="el" w:eastAsia="el"/>
        </w:rPr>
        <w:t>2.</w:t>
      </w:r>
      <w:r>
        <w:rPr>
          <w:lang w:val="el" w:eastAsia="el"/>
        </w:rPr>
        <w:t xml:space="preserve"> Την τροποποίηση της παρ. 4 του άρθρου 12 «Προθεσμίες και συνολική διάρκεια του προγράμματος» της υπ’ αρ. 43962/4.6.2024 κοινής υπουργικής απόφασης, ως εξής:</w:t>
      </w:r>
    </w:p>
    <w:p>
      <w:pPr>
        <w:spacing w:before="240" w:after="240"/>
        <w:rPr>
          <w:lang w:val="el" w:eastAsia="el"/>
        </w:rPr>
      </w:pPr>
      <w:r>
        <w:rPr>
          <w:lang w:val="el" w:eastAsia="el"/>
        </w:rPr>
        <w:t>«Το ποσό των 690.000 ευρώ εκ του συνολικού ποσού που έχει επιστραφεί με ευθύνη του Πιστωτικού Ιδρύματος στον λογαριασμό του Φορέα Υλοποίησης ΕΔΥΤΕ Α.Ε. κατ’ εφαρμογή της παρ. 7 του παρόντος σε σχέση με τη Φάση 1, θα διατίθεται στους δικαιούχους της Φάσης 3 αυξάνοντας το ποσό της ενίσχυσης ενός εκάστου δικαιούχου σύμφωνα με τα οριζόμενα στην παρ. 1.Α. του άρθρου 3 της παρούσας».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Έναρξη ισχύος - Λοιποί όροι</w:t>
      </w:r>
    </w:p>
    <w:p>
      <w:pPr>
        <w:pStyle w:val="MainText"/>
        <w:spacing w:before="120" w:after="0"/>
        <w:rPr>
          <w:lang w:val="el" w:eastAsia="el"/>
        </w:rPr>
      </w:pPr>
      <w:r>
        <w:rPr>
          <w:b/>
          <w:bCs/>
          <w:lang w:val="el" w:eastAsia="el"/>
        </w:rPr>
        <w:t>1.</w:t>
      </w:r>
      <w:r>
        <w:rPr>
          <w:lang w:val="el" w:eastAsia="el"/>
        </w:rPr>
        <w:t xml:space="preserve"> Η απόφαση αυτή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Κατά τα λοιπά ισχύουν οι λοιποί όροι της υπ’ αρ. 43962/4.6.2024 (Β’ 3172) κοινής υπουργικής απόφασης.</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Επιλέξιμοι Ταχυδρομικοί Κωδικοί (ΤΚ) Επιχειρήσεων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10"/>
        <w:gridCol w:w="28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Δήμος Νότιου Πηλίου,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Δήμος Ζαγοράς Μουρεσίου,</w:t>
            </w:r>
          </w:p>
          <w:p>
            <w:pPr>
              <w:spacing w:before="240"/>
              <w:rPr>
                <w:b w:val="0"/>
                <w:bCs w:val="0"/>
                <w:i w:val="0"/>
                <w:iCs w:val="0"/>
                <w:smallCaps w:val="0"/>
                <w:color w:val="000000"/>
                <w:lang w:val="el" w:eastAsia="el"/>
              </w:rPr>
            </w:pPr>
            <w:r>
              <w:rPr>
                <w:b w:val="0"/>
                <w:bCs w:val="0"/>
                <w:i w:val="0"/>
                <w:iCs w:val="0"/>
                <w:smallCaps w:val="0"/>
                <w:color w:val="000000"/>
                <w:lang w:val="el" w:eastAsia="el"/>
              </w:rPr>
              <w:t>Δημοτικές Ενότητες Αγριάς, Πορταριάς, Αρτέμιδος και Μακρυνίτσης του Δήμου 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37006, 37300 ,37010, 37012, 37013,</w:t>
            </w:r>
          </w:p>
          <w:p>
            <w:pPr>
              <w:spacing w:before="240"/>
              <w:rPr>
                <w:b w:val="0"/>
                <w:bCs w:val="0"/>
                <w:i w:val="0"/>
                <w:iCs w:val="0"/>
                <w:smallCaps w:val="0"/>
                <w:color w:val="000000"/>
                <w:lang w:val="el" w:eastAsia="el"/>
              </w:rPr>
            </w:pPr>
            <w:r>
              <w:rPr>
                <w:b w:val="0"/>
                <w:bCs w:val="0"/>
                <w:i w:val="0"/>
                <w:iCs w:val="0"/>
                <w:smallCaps w:val="0"/>
                <w:color w:val="000000"/>
                <w:lang w:val="el" w:eastAsia="el"/>
              </w:rPr>
              <w:t>37009, 37001, 37006, 37011, 38000</w:t>
            </w:r>
          </w:p>
        </w:tc>
      </w:tr>
    </w:tbl>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Επιλέξιμοι Ταχυδρομικοί Κωδικοί (ΤΚ) Επιχειρήσεων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58"/>
        <w:gridCol w:w="57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Δήμος Λίμνης Πλαστήρα,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Δήμος Αγιάς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Δήμος Τεμπών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Δήμος Πύλης (πλην Δημοτικών Ενοτήτων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Γόμφων και Πιαλείων)</w:t>
            </w:r>
          </w:p>
          <w:p>
            <w:pPr>
              <w:spacing w:before="240"/>
              <w:rPr>
                <w:b w:val="0"/>
                <w:bCs w:val="0"/>
                <w:i w:val="0"/>
                <w:iCs w:val="0"/>
                <w:smallCaps w:val="0"/>
                <w:color w:val="000000"/>
                <w:lang w:val="el" w:eastAsia="el"/>
              </w:rPr>
            </w:pPr>
            <w:r>
              <w:rPr>
                <w:b w:val="0"/>
                <w:bCs w:val="0"/>
                <w:i w:val="0"/>
                <w:iCs w:val="0"/>
                <w:smallCaps w:val="0"/>
                <w:color w:val="000000"/>
                <w:lang w:val="el" w:eastAsia="el"/>
              </w:rPr>
              <w:t>Δήμος Μετεώρων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43150, 43067, 43100, 40003, 40006,</w:t>
            </w:r>
          </w:p>
          <w:p>
            <w:pPr>
              <w:spacing w:before="240"/>
              <w:rPr>
                <w:b w:val="0"/>
                <w:bCs w:val="0"/>
                <w:i w:val="0"/>
                <w:iCs w:val="0"/>
                <w:smallCaps w:val="0"/>
                <w:color w:val="000000"/>
                <w:lang w:val="el" w:eastAsia="el"/>
              </w:rPr>
            </w:pPr>
            <w:r>
              <w:rPr>
                <w:b w:val="0"/>
                <w:bCs w:val="0"/>
                <w:i w:val="0"/>
                <w:iCs w:val="0"/>
                <w:smallCaps w:val="0"/>
                <w:color w:val="000000"/>
                <w:lang w:val="el" w:eastAsia="el"/>
              </w:rPr>
              <w:t>40007, 40004, 42032, 42037, 42033, 42200, 42035, 42034, 42036</w:t>
            </w:r>
          </w:p>
        </w:tc>
      </w:tr>
    </w:tbl>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Επιλέξιμοι Ταχυδρομικοί Κωδικοί (ΤΚ) Επιχειρήσεων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72"/>
        <w:gridCol w:w="31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Σουφλίου, Δημοτική ενότητα Φερών του Δήμου Αλεξανδρούπολης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68004, 68400, 68003, 68500, 68013</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Οκτωβρίου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ΟΛΓΑ ΚΕΦΑΛΟΓΙΑΝΝΗ</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b/>
          <w:bCs/>
          <w:lang w:val="el" w:eastAsia="el"/>
        </w:rPr>
        <w:t>ΧΡΙΣΤΟΣ ΔΗΜΑΣ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Υφυπουργός Κλιματικής</w:t>
      </w:r>
    </w:p>
    <w:p>
      <w:pPr>
        <w:spacing w:before="240" w:after="240"/>
        <w:rPr>
          <w:lang w:val="el" w:eastAsia="el"/>
        </w:rPr>
      </w:pPr>
      <w:r>
        <w:rPr>
          <w:lang w:val="el" w:eastAsia="el"/>
        </w:rPr>
        <w:t>Κρίσης και Πολιτικής</w:t>
      </w:r>
    </w:p>
    <w:p>
      <w:pPr>
        <w:spacing w:before="240" w:after="240"/>
        <w:rPr>
          <w:lang w:val="el" w:eastAsia="el"/>
        </w:rPr>
      </w:pPr>
      <w:r>
        <w:rPr>
          <w:lang w:val="el" w:eastAsia="el"/>
        </w:rPr>
        <w:t>Προστασίας</w:t>
      </w:r>
    </w:p>
    <w:p>
      <w:pPr>
        <w:spacing w:before="240" w:after="240"/>
        <w:rPr>
          <w:lang w:val="el" w:eastAsia="el"/>
        </w:rPr>
      </w:pPr>
      <w:r>
        <w:rPr>
          <w:b/>
          <w:bCs/>
          <w:lang w:val="el" w:eastAsia="el"/>
        </w:rPr>
        <w:t>ΧΡΗΣΤΟΣ 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