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w:t>
      </w:r>
    </w:p>
    <w:p>
      <w:pPr>
        <w:pStyle w:val="PreambelText"/>
        <w:spacing w:before="240" w:after="240"/>
        <w:rPr>
          <w:lang w:val="el" w:eastAsia="el"/>
        </w:rPr>
      </w:pPr>
      <w:r>
        <w:rPr>
          <w:b/>
          <w:bCs/>
          <w:lang w:val="el" w:eastAsia="el"/>
        </w:rPr>
        <w:t>Α. ΓΕΝΙΚΗ ΔΙΕΥΘΥΝΣΗ ΦΟΡΟΛΟΓΙΑΣ 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 Β. ΓΕΝΙΚΗ ΔΙΕΥΘΥΝΣΗ ΗΛΕΚΤΡΟΝΙΚΗΣ ΔΙΑΚΥΒΕΡΝΗΣΗΣ</w:t>
      </w:r>
    </w:p>
    <w:p>
      <w:pPr>
        <w:spacing w:before="240" w:after="240"/>
        <w:rPr>
          <w:lang w:val="el" w:eastAsia="el"/>
        </w:rPr>
      </w:pPr>
      <w:r>
        <w:rPr>
          <w:b/>
          <w:bCs/>
          <w:lang w:val="el" w:eastAsia="el"/>
        </w:rPr>
        <w:t>Ι)ΔΙΕΥΘΥΝΣΗ ΕΠΙΧΕΙΡΗΣΙΑΚΩΝ ΔΙΑΔΙΚΑΣΙΩΝ ΤΜΗΜΑ Α’</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:Λ. Πειραιώς 180</w:t>
      </w:r>
    </w:p>
    <w:p>
      <w:pPr>
        <w:spacing w:before="240" w:after="240"/>
        <w:rPr>
          <w:lang w:val="el" w:eastAsia="el"/>
        </w:rPr>
      </w:pPr>
      <w:r>
        <w:rPr>
          <w:b/>
          <w:bCs/>
          <w:lang w:val="el" w:eastAsia="el"/>
        </w:rPr>
        <w:t>Ταχ. Κώδικας:177 78, Ταύρος</w:t>
      </w:r>
    </w:p>
    <w:p>
      <w:pPr>
        <w:spacing w:before="240" w:after="240"/>
        <w:rPr>
          <w:lang w:val="el" w:eastAsia="el"/>
        </w:rPr>
      </w:pPr>
      <w:r>
        <w:rPr>
          <w:b/>
          <w:bCs/>
          <w:lang w:val="el" w:eastAsia="el"/>
        </w:rPr>
        <w:t xml:space="preserve">Ηλ. : </w:t>
      </w:r>
      <w:hyperlink r:id="rId4" w:history="1">
        <w:r>
          <w:rPr>
            <w:rStyle w:val="Hyperlink"/>
            <w:b/>
            <w:bCs/>
            <w:color w:val="0000EE"/>
            <w:u w:color="0000EE"/>
            <w:lang w:val="el" w:eastAsia="el"/>
          </w:rPr>
          <w:t>deef@aade.gr</w:t>
        </w:r>
      </w:hyperlink>
    </w:p>
    <w:p>
      <w:pPr>
        <w:spacing w:before="240" w:after="240"/>
        <w:rPr>
          <w:lang w:val="el" w:eastAsia="el"/>
        </w:rPr>
      </w:pPr>
      <w:r>
        <w:rPr>
          <w:b/>
          <w:bCs/>
          <w:lang w:val="el" w:eastAsia="el"/>
        </w:rPr>
        <w:t>Ταχυδρομείο :</w:t>
      </w:r>
      <w:hyperlink r:id="rId5" w:history="1">
        <w:r>
          <w:rPr>
            <w:rStyle w:val="Hyperlink"/>
            <w:b/>
            <w:bCs/>
            <w:color w:val="0000EE"/>
            <w:u w:color="0000EE"/>
            <w:lang w:val="el" w:eastAsia="el"/>
          </w:rPr>
          <w:t>www.aade.gr</w:t>
        </w:r>
      </w:hyperlink>
      <w:r>
        <w:rPr>
          <w:b/>
          <w:bCs/>
          <w:u w:val="single"/>
          <w:lang w:val="el" w:eastAsia="el"/>
        </w:rPr>
        <w:t>Url</w:t>
      </w:r>
    </w:p>
    <w:p>
      <w:pPr>
        <w:spacing w:before="240" w:after="240"/>
        <w:rPr>
          <w:lang w:val="el" w:eastAsia="el"/>
        </w:rPr>
      </w:pPr>
      <w:r>
        <w:rPr>
          <w:b/>
          <w:bCs/>
          <w:u w:val="single"/>
          <w:lang w:val="el" w:eastAsia="el"/>
        </w:rPr>
        <w:t xml:space="preserve">2. </w:t>
      </w:r>
      <w:r>
        <w:rPr>
          <w:b/>
          <w:bCs/>
          <w:u w:val="single"/>
          <w:lang w:val="el" w:eastAsia="el"/>
        </w:rPr>
        <w:t>ΥΠΟΥΡΓΕΙΟ ΨΗΦΙΑΚΗΣ ΔΙΑΚΥΒΕΡΝΗΣΗΣ</w:t>
      </w:r>
    </w:p>
    <w:p>
      <w:pPr>
        <w:spacing w:before="240" w:after="240"/>
        <w:rPr>
          <w:lang w:val="el" w:eastAsia="el"/>
        </w:rPr>
      </w:pPr>
      <w:r>
        <w:rPr>
          <w:b/>
          <w:bCs/>
          <w:u w:val="single"/>
          <w:lang w:val="el" w:eastAsia="el"/>
        </w:rPr>
        <w:t>ΘΕΜΑ: «Τροποποίηση της Κοινής Απόφασης Υπουργού Επικρατείας και Διοικητή ΑΑΔΕ Α.1304/2020 «Καθορισμός της διαδικασίας θέσης των Επιβατικών Ιδιωτικής Χρήσης (ΕΙΧ) οχημάτων και μοτοσυκλετών σε ακινησία ηλεκτρονικά, του τύπου της δήλωσης ακινησίας και άρσης αυτής και κάθε άλλης αναγκαίας λεπτομέρειας για τη θέση ΕΙΧ οχήματος σε ακινησία και την άρση αυτής. Περιπτώσεις για τις οποίες η κατάθεση της αίτησης για τη θέση σε ακινησία και την άρση αυτής υποβάλλεται στη Δ.Ο.Υ» (Β’5871).</w:t>
      </w:r>
    </w:p>
    <w:p>
      <w:pPr>
        <w:spacing w:before="240" w:after="240"/>
        <w:rPr>
          <w:lang w:val="el" w:eastAsia="el"/>
        </w:rPr>
      </w:pPr>
      <w:r>
        <w:rPr>
          <w:b/>
          <w:bCs/>
          <w:u w:val="single"/>
          <w:lang w:val="el" w:eastAsia="el"/>
        </w:rPr>
        <w:t>Ο ΥΠΟΥΡΓΟΣ ΨΗΦΙΑΚΗΣ ΔΙΑΚΥΒΕΡΝΗΣΗΣ και Ο ΔΙΟΙΚΗΤΗΣ ΤΗΣΑΝΕΞΑΡΤΗΤΗΣ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 xml:space="preserve">1. </w:t>
      </w:r>
      <w:r>
        <w:rPr>
          <w:b/>
          <w:bCs/>
          <w:u w:val="single"/>
          <w:lang w:val="el" w:eastAsia="el"/>
        </w:rPr>
        <w:t>Την κοινή απόφαση Υπουργού Επικρατείας και Διοικητή ΑΑΔΕ Α.1304/2020 «Καθορισμός της διαδικασίας θέσης των Επιβατικών Ιδιωτικής Χρήσης (ΕΙΧ) οχημάτων και μοτοσυκλετών σε ακινησία ηλεκτρονικά, του τύπου της δήλωσης ακινησίας και άρσης αυτής και κάθε άλλης αναγκαίας λεπτομέρειας για τη θέση ΕΙΧ οχήματος σε ακινησία και την άρση αυτής. Περιπτώσεις για τις οποίες η κατάθεση της αίτησης για τη θέση σε ακινησία και την άρση αυτής υποβάλλεται στη Δ.Ο.Υ» (B’ 5871).</w:t>
      </w:r>
    </w:p>
    <w:p>
      <w:pPr>
        <w:spacing w:before="240" w:after="240"/>
        <w:rPr>
          <w:lang w:val="el" w:eastAsia="el"/>
        </w:rPr>
      </w:pPr>
      <w:r>
        <w:rPr>
          <w:b/>
          <w:bCs/>
          <w:u w:val="single"/>
          <w:lang w:val="el" w:eastAsia="el"/>
        </w:rPr>
        <w:t xml:space="preserve">2. </w:t>
      </w:r>
      <w:r>
        <w:rPr>
          <w:b/>
          <w:bCs/>
          <w:u w:val="single"/>
          <w:lang w:val="el" w:eastAsia="el"/>
        </w:rPr>
        <w:t>Τις διατάξεις του άρθρου 22 του ν. 2367/1953 (Α’ 82) και ιδίως των παρ. 1</w:t>
      </w:r>
      <w:r>
        <w:rPr>
          <w:b/>
          <w:bCs/>
          <w:sz w:val="30"/>
          <w:szCs w:val="30"/>
          <w:u w:val="single"/>
          <w:vertAlign w:val="superscript"/>
          <w:lang w:val="el" w:eastAsia="el"/>
        </w:rPr>
        <w:t>α</w:t>
      </w:r>
      <w:r>
        <w:rPr>
          <w:b/>
          <w:bCs/>
          <w:u w:val="single"/>
          <w:lang w:val="el" w:eastAsia="el"/>
        </w:rPr>
        <w:t>, 3 και 4 αυτού, όπως τροποποιήθηκε με τις διατάξεις του άρθρου 66 του N. 4758/2020 (Α΄ 242) και ισχύει.</w:t>
      </w:r>
    </w:p>
    <w:p>
      <w:pPr>
        <w:spacing w:before="240" w:after="240"/>
        <w:rPr>
          <w:lang w:val="el" w:eastAsia="el"/>
        </w:rPr>
      </w:pPr>
      <w:r>
        <w:rPr>
          <w:b/>
          <w:bCs/>
          <w:u w:val="single"/>
          <w:lang w:val="el" w:eastAsia="el"/>
        </w:rPr>
        <w:t xml:space="preserve">3. </w:t>
      </w:r>
      <w:r>
        <w:rPr>
          <w:b/>
          <w:bCs/>
          <w:u w:val="single"/>
          <w:lang w:val="el" w:eastAsia="el"/>
        </w:rPr>
        <w:t>Τις διατάξεις του άρθρου 40 του ν. 2214/1994 (Α’ 75) «Αντικειμενικό σύστημα φορολογίας εισοδήματος και άλλες διατάξεις».</w:t>
      </w:r>
    </w:p>
    <w:p>
      <w:pPr>
        <w:spacing w:before="240" w:after="240"/>
        <w:rPr>
          <w:lang w:val="el" w:eastAsia="el"/>
        </w:rPr>
      </w:pPr>
      <w:r>
        <w:rPr>
          <w:b/>
          <w:bCs/>
          <w:u w:val="single"/>
          <w:lang w:val="el" w:eastAsia="el"/>
        </w:rPr>
        <w:t xml:space="preserve">4. </w:t>
      </w:r>
      <w:r>
        <w:rPr>
          <w:b/>
          <w:bCs/>
          <w:u w:val="single"/>
          <w:lang w:val="el" w:eastAsia="el"/>
        </w:rPr>
        <w:t>Τον ν. 4727/ 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spacing w:before="240" w:after="240"/>
        <w:rPr>
          <w:lang w:val="el" w:eastAsia="el"/>
        </w:rPr>
      </w:pPr>
      <w:r>
        <w:rPr>
          <w:b/>
          <w:bCs/>
          <w:u w:val="single"/>
          <w:lang w:val="el" w:eastAsia="el"/>
        </w:rPr>
        <w:t xml:space="preserve">5. </w:t>
      </w:r>
      <w:r>
        <w:rPr>
          <w:b/>
          <w:bCs/>
          <w:u w:val="single"/>
          <w:lang w:val="el" w:eastAsia="el"/>
        </w:rPr>
        <w:t>Τις διατάξεις της περ.1 της υποπαραγράφου Ε7 του άρθρου πρώτου του ν. 4093/2012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(Α΄222).</w:t>
      </w:r>
    </w:p>
    <w:p>
      <w:pPr>
        <w:spacing w:before="240" w:after="240"/>
        <w:rPr>
          <w:lang w:val="el" w:eastAsia="el"/>
        </w:rPr>
      </w:pPr>
      <w:r>
        <w:rPr>
          <w:b/>
          <w:bCs/>
          <w:u w:val="single"/>
          <w:lang w:val="el" w:eastAsia="el"/>
        </w:rPr>
        <w:t xml:space="preserve">6. </w:t>
      </w:r>
      <w:r>
        <w:rPr>
          <w:b/>
          <w:bCs/>
          <w:u w:val="single"/>
          <w:lang w:val="el" w:eastAsia="el"/>
        </w:rPr>
        <w:t>Τις διατάξεις της παρ.1 του άρθρου 20 του ν.2948/2001 «Κυκλοφορία τραπεζογραμματίων και κερμάτων ευρώ και φορολογικές ρυθμίσεις για την εισαγωγή του ευρώ» (Α΄242) και των παρ.1,2 και 3 του άρθρου 35 του ν.3986/2011 «Επείγοντα Μέτρα Εφαρμογής Μεσοπρόθεσμου Πλαισίου Δημοσιονομικής Στρατηγικής 2012-2015» (Α΄152).</w:t>
      </w:r>
    </w:p>
    <w:p>
      <w:pPr>
        <w:spacing w:before="240" w:after="240"/>
        <w:rPr>
          <w:lang w:val="el" w:eastAsia="el"/>
        </w:rPr>
      </w:pPr>
      <w:r>
        <w:rPr>
          <w:b/>
          <w:bCs/>
          <w:u w:val="single"/>
          <w:lang w:val="el" w:eastAsia="el"/>
        </w:rPr>
        <w:t xml:space="preserve">7. </w:t>
      </w:r>
      <w:r>
        <w:rPr>
          <w:b/>
          <w:bCs/>
          <w:u w:val="single"/>
          <w:lang w:val="el" w:eastAsia="el"/>
        </w:rPr>
        <w:t>Την υπό στοιχεία Α. 1054/2022 απόφαση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spacing w:before="240" w:after="240"/>
        <w:rPr>
          <w:lang w:val="el" w:eastAsia="el"/>
        </w:rPr>
      </w:pPr>
      <w:r>
        <w:rPr>
          <w:b/>
          <w:bCs/>
          <w:u w:val="single"/>
          <w:lang w:val="el" w:eastAsia="el"/>
        </w:rPr>
        <w:t xml:space="preserve">8. </w:t>
      </w:r>
      <w:r>
        <w:rPr>
          <w:b/>
          <w:bCs/>
          <w:u w:val="single"/>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παραγράφου 1 του άρθρου 14 και του άρθρου 41 αυτού.</w:t>
      </w:r>
    </w:p>
    <w:p>
      <w:pPr>
        <w:spacing w:before="240" w:after="240"/>
        <w:rPr>
          <w:lang w:val="el" w:eastAsia="el"/>
        </w:rPr>
      </w:pPr>
      <w:r>
        <w:rPr>
          <w:b/>
          <w:bCs/>
          <w:u w:val="single"/>
          <w:lang w:val="el" w:eastAsia="el"/>
        </w:rPr>
        <w:t xml:space="preserve">9. </w:t>
      </w:r>
      <w:r>
        <w:rPr>
          <w:b/>
          <w:bCs/>
          <w:u w:val="single"/>
          <w:lang w:val="el" w:eastAsia="el"/>
        </w:rPr>
        <w:t>α) Την με αριθμ.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5294ΕΞ 2020/17-1-2020 (Υ.Ο.Δ.Δ. 27)του Υπουργού Οικονομικών, με θέμα «Ανανέωση της θητείας του Διοικητή της Ανεξάρτητης Αρχής Δημοσίων Εσόδων».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u w:val="single"/>
          <w:lang w:val="el" w:eastAsia="el"/>
        </w:rPr>
        <w:t xml:space="preserve">10. </w:t>
      </w:r>
      <w:r>
        <w:rPr>
          <w:b/>
          <w:bCs/>
          <w:u w:val="single"/>
          <w:lang w:val="el" w:eastAsia="el"/>
        </w:rPr>
        <w:t>α)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β) το π.δ. 77/2023 «Σύσταση Υπουργείου και μετονομασία Υπουργείων –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spacing w:before="240" w:after="240"/>
        <w:rPr>
          <w:lang w:val="el" w:eastAsia="el"/>
        </w:rPr>
      </w:pPr>
      <w:r>
        <w:rPr>
          <w:b/>
          <w:bCs/>
          <w:u w:val="single"/>
          <w:lang w:val="el" w:eastAsia="el"/>
        </w:rPr>
        <w:t xml:space="preserve">11. </w:t>
      </w:r>
      <w:r>
        <w:rPr>
          <w:b/>
          <w:bCs/>
          <w:u w:val="single"/>
          <w:lang w:val="el" w:eastAsia="el"/>
        </w:rPr>
        <w:t>Το π.δ. 79/2023 «Διορισμός Υπουργών ,Αναπληρωτών Υπουργών και Υφυπουργών » (Α’131).</w:t>
      </w:r>
    </w:p>
    <w:p>
      <w:pPr>
        <w:spacing w:before="240" w:after="240"/>
        <w:rPr>
          <w:lang w:val="el" w:eastAsia="el"/>
        </w:rPr>
      </w:pPr>
      <w:r>
        <w:rPr>
          <w:b/>
          <w:bCs/>
          <w:u w:val="single"/>
          <w:lang w:val="el" w:eastAsia="el"/>
        </w:rPr>
        <w:t xml:space="preserve">12. </w:t>
      </w:r>
      <w:r>
        <w:rPr>
          <w:b/>
          <w:bCs/>
          <w:u w:val="single"/>
          <w:lang w:val="el" w:eastAsia="el"/>
        </w:rPr>
        <w:t>Το π.δ. 40/2020 «Οργανισμός Υπουργείου Ψηφιακής Διακυβέρνησης» (Α’ 85).</w:t>
      </w:r>
    </w:p>
    <w:p>
      <w:pPr>
        <w:spacing w:before="240" w:after="240"/>
        <w:rPr>
          <w:lang w:val="el" w:eastAsia="el"/>
        </w:rPr>
      </w:pPr>
      <w:r>
        <w:rPr>
          <w:b/>
          <w:bCs/>
          <w:u w:val="single"/>
          <w:lang w:val="el" w:eastAsia="el"/>
        </w:rPr>
        <w:t xml:space="preserve">13. </w:t>
      </w:r>
      <w:r>
        <w:rPr>
          <w:b/>
          <w:bCs/>
          <w:u w:val="single"/>
          <w:lang w:val="el" w:eastAsia="el"/>
        </w:rPr>
        <w:t>α)Την υπ’ αριθμ. 3981 ΕΞ 2020 απόφαση του Υπουργού Επικρατείας «Παροχή Υπηρεσίας Αυθεντικοποίησης Χρηστών oAuth2.0 σε Πληροφοριακά Συστήματα τρίτων Φορέων» (Β’ 762). β)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b/>
          <w:bCs/>
          <w:u w:val="single"/>
          <w:lang w:val="el" w:eastAsia="el"/>
        </w:rPr>
        <w:t xml:space="preserve">14. </w:t>
      </w:r>
      <w:r>
        <w:rPr>
          <w:b/>
          <w:bCs/>
          <w:u w:val="single"/>
          <w:lang w:val="el" w:eastAsia="el"/>
        </w:rPr>
        <w:t>Την ανάγκη τροποποίησης της απόφασης με σκοπό να μην κατατίθενται τα στοιχεία κυκλοφορίας στη Φορολογική Διοίκηση και στις περιπτώσεις αναγκαστικής ακινησίας και ακινησίας από κληρονόμους και να φυλάσσονται με ευθύνη των ιδιοκτητών.</w:t>
      </w:r>
    </w:p>
    <w:p>
      <w:pPr>
        <w:spacing w:before="240" w:after="240"/>
        <w:rPr>
          <w:lang w:val="el" w:eastAsia="el"/>
        </w:rPr>
      </w:pPr>
      <w:r>
        <w:rPr>
          <w:b/>
          <w:bCs/>
          <w:u w:val="single"/>
          <w:lang w:val="el" w:eastAsia="el"/>
        </w:rPr>
        <w:t xml:space="preserve">15. </w:t>
      </w:r>
      <w:r>
        <w:rPr>
          <w:b/>
          <w:bCs/>
          <w:u w:val="single"/>
          <w:lang w:val="el" w:eastAsia="el"/>
        </w:rPr>
        <w:t>Τη διαπίστωση ότι από την εφαρμογή της παρούσας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Τροποποιούμε την υπό στοιχεία Α.1304/2020 Κοινή Απόφαση του Υπουργού Επικρατείας και του Διοικητή της Ανεξάρτητης Αρχής Δημοσίων Εσόδων, ως κατωτέρω:</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Τροποποιείται το πρώτο εδάφιο της παρ. 2 του άρθρου 2 και η παράγραφος διαμορφώνεται ως εξής:</w:t>
      </w:r>
    </w:p>
    <w:p>
      <w:pPr>
        <w:spacing w:before="240" w:after="240"/>
        <w:rPr>
          <w:lang w:val="el" w:eastAsia="el"/>
        </w:rPr>
      </w:pPr>
      <w:r>
        <w:rPr>
          <w:b/>
          <w:bCs/>
          <w:u w:val="single"/>
          <w:lang w:val="el" w:eastAsia="el"/>
        </w:rPr>
        <w:t>«Στην εφαρμογή αναρτάται σε εμφανές σημείο προειδοποιητικό μήνυμα για την εξαίρεση από την ηλεκτρονική ακινησία των περιπτώσεων του άρθρου 3, ενημερώνοντας ότι οι εν λόγω ακινησίες πραγματοποιούνται στη Δ.Ο.Υ. φορολογίας εισοδήματος του ιδιοκτήτη/κατόχου του οχήματος ή το ΚΕΦΟΔΕ. Στο ίδιο σημείο αναφέρονται οι προβλεπόμενες κυρώσεις σε περίπτωση εντοπισμού οχήματος σε κυκλοφορία ενώ έχει δηλωθεί σε ακινησία.»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Τροποποιούνται ο τίτλος, οι παρ. 1, 2 , 3 και 4 του άρθρου 3 και προστίθεται παράγραφος 5 και το άρθρο 3 διαμορφώνεται ως εξής:</w:t>
      </w:r>
    </w:p>
    <w:p>
      <w:pPr>
        <w:spacing w:before="240" w:after="240"/>
        <w:rPr>
          <w:lang w:val="el" w:eastAsia="el"/>
        </w:rPr>
      </w:pPr>
      <w:r>
        <w:rPr>
          <w:b/>
          <w:bCs/>
          <w:u w:val="single"/>
          <w:lang w:val="el" w:eastAsia="el"/>
        </w:rPr>
        <w:t xml:space="preserve">«Άρθρο 3. </w:t>
      </w:r>
    </w:p>
    <w:p>
      <w:pPr>
        <w:spacing w:before="240" w:after="240"/>
        <w:rPr>
          <w:lang w:val="el" w:eastAsia="el"/>
        </w:rPr>
      </w:pPr>
      <w:r>
        <w:rPr>
          <w:b/>
          <w:bCs/>
          <w:u w:val="single"/>
          <w:lang w:val="el" w:eastAsia="el"/>
        </w:rPr>
        <w:t>Περιπτώσεις για τις οποίες η θέση ή η άρση ακινησίας δηλώνεταιστη Δ.Ο.Υ. ή το ΚΕΦΟΔΕ μέσω της ψηφιακής εφαρμογής της ΑΑΔΕ «Τααιτήματά μου»</w:t>
      </w:r>
    </w:p>
    <w:p>
      <w:pPr>
        <w:spacing w:before="240" w:after="240"/>
        <w:rPr>
          <w:lang w:val="el" w:eastAsia="el"/>
        </w:rPr>
      </w:pPr>
      <w:r>
        <w:rPr>
          <w:b/>
          <w:bCs/>
          <w:u w:val="single"/>
          <w:lang w:val="el" w:eastAsia="el"/>
        </w:rPr>
        <w:t xml:space="preserve">1. </w:t>
      </w:r>
      <w:r>
        <w:rPr>
          <w:b/>
          <w:bCs/>
          <w:u w:val="single"/>
          <w:lang w:val="el" w:eastAsia="el"/>
        </w:rPr>
        <w:t>Η θέση οχήματος σε ακινησία και η άρση αυτής δηλώνεται στη Δ.Ο.Υ. που είναι αρμόδια για την παραλαβή της δήλωσης φορολογίας εισοδήματος του ιδιοκτήτη ή κατόχου του οχήματος, ή το ΚΕ.ΦΟ.Δ.Ε., μέσω της ψηφιακής εφαρμογής της ΑΑΔΕ «Τα αιτήματά μου», και όχι ηλεκτρονικά, στις εξής περιπτώσεις:</w:t>
      </w:r>
    </w:p>
    <w:p>
      <w:pPr>
        <w:spacing w:before="240" w:after="240"/>
        <w:rPr>
          <w:lang w:val="el" w:eastAsia="el"/>
        </w:rPr>
      </w:pPr>
      <w:r>
        <w:rPr>
          <w:b/>
          <w:bCs/>
          <w:u w:val="single"/>
          <w:lang w:val="el" w:eastAsia="el"/>
        </w:rPr>
        <w:t>α. Κλοπής ή υπεξαίρεσης του οχήματος, β. Κυκλοφορίας του οχήματος στο εξωτερικό, γ. Μεταβίβασης του οχήματος η οποία δεν έχει ολοκληρωθεί, δ. Κατάσχεσης του οχήματος από δημόσια αρχή με τα στοιχεία κυκλοφορίας αυτού,</w:t>
      </w:r>
    </w:p>
    <w:p>
      <w:pPr>
        <w:spacing w:before="240" w:after="240"/>
        <w:rPr>
          <w:lang w:val="el" w:eastAsia="el"/>
        </w:rPr>
      </w:pPr>
      <w:r>
        <w:rPr>
          <w:b/>
          <w:bCs/>
          <w:u w:val="single"/>
          <w:lang w:val="el" w:eastAsia="el"/>
        </w:rPr>
        <w:t>ε. Αφαίρεσης των στοιχείων κυκλοφορίας του οχήματος από δημόσια αρχή, στ. Παράδοσης στις εγκαταστάσεις της Εναλλακτικής Διαχείρισης Οχημάτων Ελλάδος (ΕΔΟΕ) με σκοπό την οριστική διαγραφή του με ανακύκλωση, ζ. Ολοσχερούς καταστροφής του οχήματος λόγω πυρκαγιάς ή άλλης αιτίας, η. Πλειστηριασμού του οχήματος,</w:t>
      </w:r>
    </w:p>
    <w:p>
      <w:pPr>
        <w:spacing w:before="240" w:after="240"/>
        <w:rPr>
          <w:lang w:val="el" w:eastAsia="el"/>
        </w:rPr>
      </w:pPr>
      <w:r>
        <w:rPr>
          <w:b/>
          <w:bCs/>
          <w:u w:val="single"/>
          <w:lang w:val="el" w:eastAsia="el"/>
        </w:rPr>
        <w:t>θ. Αποξένωσης του ιδιοκτήτη ή κατόχου από το όχημα, όπως στην περίπτωση περισυλλογής του από το Δήμο ως εγκαταλελειμμένου,</w:t>
      </w:r>
    </w:p>
    <w:p>
      <w:pPr>
        <w:spacing w:before="240" w:after="240"/>
        <w:rPr>
          <w:lang w:val="el" w:eastAsia="el"/>
        </w:rPr>
      </w:pPr>
      <w:r>
        <w:rPr>
          <w:b/>
          <w:bCs/>
          <w:u w:val="single"/>
          <w:lang w:val="el" w:eastAsia="el"/>
        </w:rPr>
        <w:t>ι. Κάθε άλλη περίπτωση όπου ο ιδιοκτήτης ή κάτοχος του οχήματος δεν έχει στην κατοχή του είτε το όχημα είτε τα στοιχεία κυκλοφορίας του (άδεια και πινακίδες).</w:t>
      </w:r>
    </w:p>
    <w:p>
      <w:pPr>
        <w:spacing w:before="240" w:after="240"/>
        <w:rPr>
          <w:lang w:val="el" w:eastAsia="el"/>
        </w:rPr>
      </w:pPr>
      <w:r>
        <w:rPr>
          <w:b/>
          <w:bCs/>
          <w:u w:val="single"/>
          <w:lang w:val="el" w:eastAsia="el"/>
        </w:rPr>
        <w:t>Για τη θέση ή άρση ακινησίας υποβάλλεται από τον ιδιοκτήτη ή κάτοχο σχετικό αίτημα μέσα από την ψηφιακή εφαρμογή της ΑΑΔΕ «Τα αιτήματά μου», συνυποβάλλοντας τα κατά περίπτωση δικαιολογητικά έγγραφα που αποδεικνύουν το ως άνω γεγονός και τα οποία εξετάζονται από την υπηρεσία, πριν την θέση του οχήματος σε ακινησία ή την άρση αυτής.</w:t>
      </w:r>
    </w:p>
    <w:p>
      <w:pPr>
        <w:spacing w:before="240" w:after="240"/>
        <w:rPr>
          <w:lang w:val="el" w:eastAsia="el"/>
        </w:rPr>
      </w:pPr>
      <w:r>
        <w:rPr>
          <w:b/>
          <w:bCs/>
          <w:u w:val="single"/>
          <w:lang w:val="el" w:eastAsia="el"/>
        </w:rPr>
        <w:t xml:space="preserve">2. </w:t>
      </w:r>
      <w:r>
        <w:rPr>
          <w:b/>
          <w:bCs/>
          <w:u w:val="single"/>
          <w:lang w:val="el" w:eastAsia="el"/>
        </w:rPr>
        <w:t>Εάν για όχημα που έχει τεθεί σε ακινησία κατά τις διατάξεις της παρ. 1Α του άρθρου 22 του ν. 2367/1953 (Α’ 82), συντρέξει μετά τη θέση του οχήματος σε ακινησία γεγονός εκ των αναφερομένων στις περιπτώσεις α-ι της παρ. 1, ο ιδιοκτήτης ή κάτοχος του οχήματος δηλώνει το γεγονός στην αρμόδια, σύμφωνα με την παρ. 1 του παρόντος άρθρου, υπηρεσία (Δ.Ο.Υ./ΚΕ.ΦΟ.Δ.Ε.) μέσω της ψηφιακής εφαρμογής της ΑΑΔΕ «Τα αιτήματά μου» επισυνάπτοντας και τα απαραίτητα αποδεικτικά έγγραφα.</w:t>
      </w:r>
    </w:p>
    <w:p>
      <w:pPr>
        <w:spacing w:before="240" w:after="240"/>
        <w:rPr>
          <w:lang w:val="el" w:eastAsia="el"/>
        </w:rPr>
      </w:pPr>
      <w:r>
        <w:rPr>
          <w:b/>
          <w:bCs/>
          <w:u w:val="single"/>
          <w:lang w:val="el" w:eastAsia="el"/>
        </w:rPr>
        <w:t xml:space="preserve">3. </w:t>
      </w:r>
      <w:r>
        <w:rPr>
          <w:b/>
          <w:bCs/>
          <w:u w:val="single"/>
          <w:lang w:val="el" w:eastAsia="el"/>
        </w:rPr>
        <w:t>Για τις περιπτώσεις που η κατάθεση των στοιχείων κυκλοφορίας γίνεται σε άλλη δημόσια αρχή και συντρέχει κάποιο από τα γεγονότα των περιπτώσεων της α-ι της παρ. 1, ο ιδιοκτήτης ή κάτοχος του οχήματος δηλώνει το γεγονός στην αρμόδια, σύμφωνα με την παρ. 1 του παρόντος άρθρου, υπηρεσία (Δ.Ο.Υ./ΚΕ.ΦΟ.Δ.Ε.) μέσω της ψηφιακής εφαρμογής της ΑΑΔΕ «Τα αιτήματά μου», επισυνάπτοντας και τα απαραίτητα αποδεικτικά έγγραφα.</w:t>
      </w:r>
    </w:p>
    <w:p>
      <w:pPr>
        <w:spacing w:before="240" w:after="240"/>
        <w:rPr>
          <w:lang w:val="el" w:eastAsia="el"/>
        </w:rPr>
      </w:pPr>
      <w:r>
        <w:rPr>
          <w:b/>
          <w:bCs/>
          <w:u w:val="single"/>
          <w:lang w:val="el" w:eastAsia="el"/>
        </w:rPr>
        <w:t xml:space="preserve">4. </w:t>
      </w:r>
      <w:r>
        <w:rPr>
          <w:b/>
          <w:bCs/>
          <w:u w:val="single"/>
          <w:lang w:val="el" w:eastAsia="el"/>
        </w:rPr>
        <w:t>Σε περίπτωση αποβιώσαντος ιδιοκτήτη/συνιδιοκτήτη ή κατόχου, η ακινησία του οχήματος δηλώνεται στην αρμόδια Δ.Ο.Υ. φορολογίας εισοδήματος του αποβιώσαντος ή το ΚΕ.ΦΟ.Δ.Ε. μέσω της ψηφιακής εφαρμογής της ΑΑΔΕ «Τα αιτήματα μου».</w:t>
      </w:r>
    </w:p>
    <w:p>
      <w:pPr>
        <w:spacing w:before="240" w:after="240"/>
        <w:rPr>
          <w:lang w:val="el" w:eastAsia="el"/>
        </w:rPr>
      </w:pPr>
      <w:r>
        <w:rPr>
          <w:b/>
          <w:bCs/>
          <w:u w:val="single"/>
          <w:lang w:val="el" w:eastAsia="el"/>
        </w:rPr>
        <w:t xml:space="preserve">5. </w:t>
      </w:r>
      <w:r>
        <w:rPr>
          <w:b/>
          <w:bCs/>
          <w:u w:val="single"/>
          <w:lang w:val="el" w:eastAsia="el"/>
        </w:rPr>
        <w:t>Εφεξής για τις περιπτώσεις του παρόντος άρθρου δεν κατατίθενται στη φορολογική αρχή στοιχεία κυκλοφορίας (άδεια και πινακίδες αριθμού κυκλοφορίας) εφόσον υφίστανται. Τα στοιχεία κυκλοφορίας, φυλάσσονται από τον ιδιοκτήτη/ κάτοχο με ευθύνη του.»</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Τροποποιείται το δεύτερο εδάφιο της παρ. 1 του άρθρου 4 και μετά από αυτό προστίθεται τρίτο εδάφιο και διαμορφώνεται ως εξής:</w:t>
      </w:r>
    </w:p>
    <w:p>
      <w:pPr>
        <w:spacing w:before="240" w:after="240"/>
        <w:rPr>
          <w:lang w:val="el" w:eastAsia="el"/>
        </w:rPr>
      </w:pPr>
      <w:r>
        <w:rPr>
          <w:b/>
          <w:bCs/>
          <w:u w:val="single"/>
          <w:lang w:val="el" w:eastAsia="el"/>
        </w:rPr>
        <w:t>«Για την περίπτωση άρσης ακινησίας οχήματος αποβιώσαντος ιδιοκτήτη/συνιδιοκτήτη/κάτοχου, οι κληρονόμοι αυτού θα πρέπει να προσέλθουν στην αρμόδια για την φορολογία εισοδήματος Δ.Ο.Υ./ Υπηρεσία Φορολογικής Εξυπηρέτησης, μόνο εφόσον τα στοιχεία κυκλοφορίας είναι κατατεθειμένα σε αυτές. Ομοίως, απαιτείται προσέλευση στην αρμόδια Δ.Ο.Υ./ Υπηρεσία Φορολογικής Εξυπηρέτησης σε κάθε άλλη περίπτωση ακινησίας που τα στοιχεία κυκλοφορίας είναι κατατεθειμένα σε αυτές.»</w:t>
      </w:r>
    </w:p>
    <w:p>
      <w:pPr>
        <w:pStyle w:val="Heading6"/>
        <w:spacing w:before="240" w:after="240"/>
        <w:rPr>
          <w:lang w:val="el" w:eastAsia="el"/>
        </w:rPr>
      </w:pPr>
      <w:r>
        <w:rPr>
          <w:b/>
          <w:bCs/>
          <w:u w:val="single"/>
          <w:lang w:val="el" w:eastAsia="el"/>
        </w:rPr>
        <w:t xml:space="preserve">Άρθρο 2.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ισχύς της παρούσας απόφασης αρχίζει από 15 Νοέμβρη 2024 και καταλαμβάνει δηλώσεις και άρσεις ακινησιών από την ημερομηνία αυτή κι εφεξής .</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ΥΠΟΥΡΓΟΣ ΨΗΦΙΑΚΗΣ ΔΙΑΚΥΒΕΡΝΗΣΗΣ Ο ΔΙΟΙΚΗΤΗΣ ΑΑΔΕ ΔΗΜΗΤΡΗΣ ΠΑΠΑΣΤΕΡΓΙΟΥ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 xml:space="preserve">3. </w:t>
      </w:r>
      <w:r>
        <w:rPr>
          <w:b/>
          <w:bCs/>
          <w:u w:val="single"/>
          <w:lang w:val="el" w:eastAsia="el"/>
        </w:rPr>
        <w:t>Διεύθυνση Επικοινωνίας</w:t>
      </w:r>
    </w:p>
    <w:p>
      <w:pPr>
        <w:spacing w:before="240" w:after="240"/>
        <w:rPr>
          <w:lang w:val="el" w:eastAsia="el"/>
        </w:rPr>
      </w:pPr>
      <w:r>
        <w:rPr>
          <w:b/>
          <w:bCs/>
          <w:u w:val="single"/>
          <w:lang w:val="el" w:eastAsia="el"/>
        </w:rPr>
        <w:t xml:space="preserve">4.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 xml:space="preserve">5. </w:t>
      </w:r>
      <w:r>
        <w:rPr>
          <w:b/>
          <w:bCs/>
          <w:u w:val="single"/>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 xml:space="preserve">3. </w:t>
      </w:r>
      <w:r>
        <w:rPr>
          <w:b/>
          <w:bCs/>
          <w:u w:val="single"/>
          <w:lang w:val="el" w:eastAsia="el"/>
        </w:rPr>
        <w:t>Γραφείο Υπουργού Ψηφιακής Διακυβέρνησης</w:t>
      </w:r>
    </w:p>
    <w:p>
      <w:pPr>
        <w:spacing w:before="240" w:after="240"/>
        <w:rPr>
          <w:lang w:val="el" w:eastAsia="el"/>
        </w:rPr>
      </w:pPr>
      <w:r>
        <w:rPr>
          <w:b/>
          <w:bCs/>
          <w:u w:val="single"/>
          <w:lang w:val="el" w:eastAsia="el"/>
        </w:rPr>
        <w:t xml:space="preserve">4. </w:t>
      </w:r>
      <w:r>
        <w:rPr>
          <w:b/>
          <w:bCs/>
          <w:u w:val="single"/>
          <w:lang w:val="el" w:eastAsia="el"/>
        </w:rPr>
        <w:t>Γραφείο Γενικής Γραμματέως Φορολογικής Πολιτικής</w:t>
      </w:r>
    </w:p>
    <w:p>
      <w:pPr>
        <w:spacing w:before="240" w:after="240"/>
        <w:rPr>
          <w:lang w:val="el" w:eastAsia="el"/>
        </w:rPr>
      </w:pPr>
      <w:r>
        <w:rPr>
          <w:b/>
          <w:bCs/>
          <w:u w:val="single"/>
          <w:lang w:val="el" w:eastAsia="el"/>
        </w:rPr>
        <w:t xml:space="preserve">5. </w:t>
      </w:r>
      <w:r>
        <w:rPr>
          <w:b/>
          <w:bCs/>
          <w:u w:val="single"/>
          <w:lang w:val="el" w:eastAsia="el"/>
        </w:rPr>
        <w:t>Αποδέκτες πίνακα Α, μόνο οι αριθμ. 1 και 4</w:t>
      </w:r>
    </w:p>
    <w:p>
      <w:pPr>
        <w:spacing w:before="240" w:after="240"/>
        <w:rPr>
          <w:lang w:val="el" w:eastAsia="el"/>
        </w:rPr>
      </w:pPr>
      <w:r>
        <w:rPr>
          <w:b/>
          <w:bCs/>
          <w:u w:val="single"/>
          <w:lang w:val="el" w:eastAsia="el"/>
        </w:rPr>
        <w:t xml:space="preserve">6. </w:t>
      </w:r>
      <w:r>
        <w:rPr>
          <w:b/>
          <w:bCs/>
          <w:u w:val="single"/>
          <w:lang w:val="el" w:eastAsia="el"/>
        </w:rPr>
        <w:t>Αποδέκτες πίνακα Β, Γ, Δ, Ζ, Η, Θ, Ι, ΙΒ, ΚΒ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Γραφεία κ.κ. Γεν. Διευθυντών</w:t>
      </w:r>
    </w:p>
    <w:p>
      <w:pPr>
        <w:spacing w:before="240" w:after="240"/>
        <w:rPr>
          <w:lang w:val="el" w:eastAsia="el"/>
        </w:rPr>
      </w:pPr>
      <w:r>
        <w:rPr>
          <w:b/>
          <w:bCs/>
          <w:u w:val="single"/>
          <w:lang w:val="el" w:eastAsia="el"/>
        </w:rPr>
        <w:t xml:space="preserve">3. </w:t>
      </w:r>
      <w:r>
        <w:rPr>
          <w:b/>
          <w:bCs/>
          <w:u w:val="single"/>
          <w:lang w:val="el" w:eastAsia="el"/>
        </w:rPr>
        <w:t>Διεύθυνση Νομικής Υποστήριξης ΑΑΔΕ</w:t>
      </w:r>
    </w:p>
    <w:p>
      <w:pPr>
        <w:spacing w:before="240" w:after="240"/>
        <w:rPr>
          <w:lang w:val="el" w:eastAsia="el"/>
        </w:rPr>
      </w:pPr>
      <w:r>
        <w:rPr>
          <w:b/>
          <w:bCs/>
          <w:u w:val="single"/>
          <w:lang w:val="el" w:eastAsia="el"/>
        </w:rPr>
        <w:t xml:space="preserve">4. </w:t>
      </w:r>
      <w:r>
        <w:rPr>
          <w:b/>
          <w:bCs/>
          <w:u w:val="single"/>
          <w:lang w:val="el" w:eastAsia="el"/>
        </w:rPr>
        <w:t>Διεύθυνση Εφαρμογής Άμεσης Φορολογίας</w:t>
      </w:r>
    </w:p>
    <w:p>
      <w:pPr>
        <w:spacing w:before="240" w:after="240"/>
        <w:rPr>
          <w:lang w:val="el" w:eastAsia="el"/>
        </w:rPr>
      </w:pPr>
      <w:r>
        <w:rPr>
          <w:b/>
          <w:bCs/>
          <w:u w:val="single"/>
          <w:lang w:val="el" w:eastAsia="el"/>
        </w:rPr>
        <w:t xml:space="preserve">5. </w:t>
      </w:r>
      <w:r>
        <w:rPr>
          <w:b/>
          <w:bCs/>
          <w:u w:val="single"/>
          <w:lang w:val="el" w:eastAsia="el"/>
        </w:rPr>
        <w:t>Διεύθυνση Εφαρμογής Έμμεσης Φορολογίας</w:t>
      </w:r>
    </w:p>
    <w:p>
      <w:pPr>
        <w:spacing w:before="240" w:after="240"/>
        <w:rPr>
          <w:lang w:val="el" w:eastAsia="el"/>
        </w:rPr>
      </w:pPr>
      <w:r>
        <w:rPr>
          <w:b/>
          <w:bCs/>
          <w:u w:val="single"/>
          <w:lang w:val="el" w:eastAsia="el"/>
        </w:rPr>
        <w:t xml:space="preserve">6.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 xml:space="preserve">7. </w:t>
      </w:r>
      <w:r>
        <w:rPr>
          <w:b/>
          <w:bCs/>
          <w:u w:val="single"/>
          <w:lang w:val="el" w:eastAsia="el"/>
        </w:rPr>
        <w:t>Διεύθυνση Ανάπτυξης Φορολογικών Εφαρμογών</w:t>
      </w:r>
    </w:p>
    <w:p>
      <w:pPr>
        <w:spacing w:before="240" w:after="240"/>
        <w:rPr>
          <w:lang w:val="el" w:eastAsia="el"/>
        </w:rPr>
      </w:pPr>
      <w:r>
        <w:rPr>
          <w:b/>
          <w:bCs/>
          <w:u w:val="single"/>
          <w:lang w:val="el" w:eastAsia="el"/>
        </w:rPr>
        <w:t xml:space="preserve">8. </w:t>
      </w:r>
      <w:r>
        <w:rPr>
          <w:b/>
          <w:bCs/>
          <w:u w:val="single"/>
          <w:lang w:val="el" w:eastAsia="el"/>
        </w:rPr>
        <w:t>Διεύθυνση Εφαρμογής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