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1.ΥΠΟΥΡΓΕΙΟ ΕΘΝΙΚΗΣ ΟΙΚΟΝΟΜΙΑΣ ΚΑΙ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ΓΡΑΦΕΙΟ ΥΦΥΠΟΥΡΓΟΥ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2.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ΔΙΑΔΙΚΑΣΙΩΝ ΕΙΣΠΡΑΞΕΩΝ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ΕΠΙΣΤΡΟΦΩΝ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Α΄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Πειραιώς 180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107 78 Ταύρος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:213 141 0149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dideisep@aade.gr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Τροποποίηση της υπ’αρ.1024851/1713/0016/26.02.1997 απόφασης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Υφυπουργού Οικονομικών «Είσπραξη εσόδων υπέρ τρίτων από τις Δημόσιες Οικονομικές Υπηρεσίες»(Β΄290).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ΕΘΝΙΚΗΣ 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1) </w:t>
      </w:r>
      <w:r>
        <w:rPr>
          <w:b/>
          <w:bCs/>
          <w:lang w:val="el" w:eastAsia="el"/>
        </w:rPr>
        <w:t>Tο άρθρο 98 του ν.4270/2014 «Αρχές δημοσιονομικής διαχείρισης και εποπτείας (ενσωμάτωση της Οδηγίας 2011/85/ΕΕ) δημόσιο λογιστικό και άλλες διατάξεις» (Α΄143).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2) </w:t>
      </w:r>
      <w:r>
        <w:rPr>
          <w:b/>
          <w:bCs/>
          <w:lang w:val="el" w:eastAsia="el"/>
        </w:rPr>
        <w:t>Τον Κώδικα Είσπραξης Δημοσίων Εσόδων (ν.4978/2022, Α΄190).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3) </w:t>
      </w:r>
      <w:r>
        <w:rPr>
          <w:b/>
          <w:bCs/>
          <w:lang w:val="el" w:eastAsia="el"/>
        </w:rPr>
        <w:t>Το π.δ.16/1989 «Κανονισμός λειτουργίας Δημοσίων Οικονομικών Υπηρεσιών (Δ.Ο.Υ.) και των τοπικών γραφείων και καθήκοντα υπαλλήλων αυτών» (Α΄6).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4) </w:t>
      </w:r>
      <w:r>
        <w:rPr>
          <w:b/>
          <w:bCs/>
          <w:lang w:val="el" w:eastAsia="el"/>
        </w:rPr>
        <w:t>Το άρθρο 12 του ν.5104/2024 «Κώδικας Φορολογικής Διαδικασίας και άλλες διατάξεις» (Α΄58).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5) </w:t>
      </w:r>
      <w:r>
        <w:rPr>
          <w:b/>
          <w:bCs/>
          <w:lang w:val="el" w:eastAsia="el"/>
        </w:rPr>
        <w:t>Το άρθρο 14 του ν.2892/2001 «Ελαφρύνσεις στη φορολογία κεφαλαίου και άλλες διατάξεις» (Α΄46).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6) </w:t>
      </w:r>
      <w:r>
        <w:rPr>
          <w:b/>
          <w:bCs/>
          <w:lang w:val="el" w:eastAsia="el"/>
        </w:rPr>
        <w:t>Το π.δ. 142/2017 «Οργανισμός Υπουργείου Οικονομικών» (Α΄181).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7) </w:t>
      </w:r>
      <w:r>
        <w:rPr>
          <w:b/>
          <w:bCs/>
          <w:lang w:val="el" w:eastAsia="el"/>
        </w:rPr>
        <w:t>Το π.δ. 82/2023 «Μετονομασία Υπουργείου - Σύσταση και μετονομασία Γενικών Γραμματειών-Μεταφορά αρμοδιοτήτων, υπηρεσιακών μονάδων και θέσεων προσωπικού –Τροποποίηση και συμπλήρωση του π.δ. 77/2023 (Α΄130) - Μεταβατικές διατάξεις» (Α΄ 139).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8) </w:t>
      </w:r>
      <w:r>
        <w:rPr>
          <w:b/>
          <w:bCs/>
          <w:lang w:val="el" w:eastAsia="el"/>
        </w:rPr>
        <w:t>Το π.δ. 32/2024 «Διορισμός Υπουργών και Υφυπουργών» (Α΄91).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9) </w:t>
      </w:r>
      <w:r>
        <w:rPr>
          <w:b/>
          <w:bCs/>
          <w:lang w:val="el" w:eastAsia="el"/>
        </w:rPr>
        <w:t>Την υπό στοιχεία 84913 ΕΞ 2024/17.06.2024 κοινή απόφαση του Πρωθυπουργού και του Υπουργού Εθνικής Οικονομίας και Οικονομικών «Ανάθεση αρμοδιοτήτων στον Υφυπουργό Εθνικής Οικονομίας και Οικονομικών, Χρίστο Δήμα» (Β΄3472).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10) </w:t>
      </w:r>
      <w:r>
        <w:rPr>
          <w:b/>
          <w:bCs/>
          <w:lang w:val="el" w:eastAsia="el"/>
        </w:rPr>
        <w:t>Την υπό στοιχεία Δ.ΟΡΓ.Α 1125859 ΕΞ 2020 απόφαση του Διοικητή της Ανεξάρτητης Αρχής Δημοσίων Εσόδων (ΑΑΔΕ) «Οργανισμός της Ανεξάρτητης Αρχής Δημοσίων Εσόδων» (Β΄4738).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11) </w:t>
      </w:r>
      <w:r>
        <w:rPr>
          <w:b/>
          <w:bCs/>
          <w:lang w:val="el" w:eastAsia="el"/>
        </w:rPr>
        <w:t>Την υπ. αρ. 1024851/1713/0016/26.02.1997 απόφαση του Υφυπουργού Οικονομικών « Είσπραξη εσόδων υπέρ τρίτων από τις Δημόσιες Οικονομικές Υπηρεσίες» (Β΄290).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12) </w:t>
      </w:r>
      <w:r>
        <w:rPr>
          <w:b/>
          <w:bCs/>
          <w:lang w:val="el" w:eastAsia="el"/>
        </w:rPr>
        <w:t>Την υπ’ αρ. 16/06.02.2024 αίτηση του ΤΟΕΒ Παλ. Μυλοτόπου.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13) </w:t>
      </w:r>
      <w:r>
        <w:rPr>
          <w:b/>
          <w:bCs/>
          <w:lang w:val="el" w:eastAsia="el"/>
        </w:rPr>
        <w:t>Το γεγονός ότι από την απόφαση αυτή δεν προκαλείται δαπάνη σε βάρος του κρατικού προϋπολογισμού,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Μόνο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Αντικαθιστούμε την περ. 273 της παρ. 1 του άρθρου μόνου της υπ’ αρ. 1024851/1713/0016/26.02.1997 (Β΄290) απόφασης του Υφυπουργού Οικονομικών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«Τοπικός Οργανισμός Εγγείων Βελτιώσεων Παλ. Μυλοτόπου».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ΥΦΥΠΟΥΡΓΟΣΧΡΙΣΤΟΣ ΔΗΜΑΣ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ΓΙΑ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Γ’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Δ/νση Επιχειρησιακών Διαδικασιών-Υποδιεύθυνση Α, Τμήμα Β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Δ/νση Υποστήριξης Λειτουργίας Πληροφορικών Συστημάτων Δημοσιονομικού Τομέα, Τμήμα Γ- Οικονομικών Στοιχείων Φορέων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Δ/νση Στρατηγικής Τεχνολογιών Πληροφορικής (για ανάρτηση στην ιστοσελίδα της Α.Α.Δ.Ε.).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Ηλεκτρονική Βιβλιοθήκη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ΓΙΑ ΚΟΙΝΟΠΟΙΗΣΗ: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Υφυπουργού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Επικοινωνίας και Ενημέρωσης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Γενική Γραμματεία Φορολογικής Πολιτικής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Περιοδικό «Φορολογική Επιθεώρηση»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ΤΟΕΒ ΠΑΛΑΙΟΥ ΜΥΛΟΤΟΠΟΥ ΤΚ 581 00 Π. ΜΥΛΟΤΟΠΟΣ ΠΕΛΛΑΣ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 ΕΣΩΤΕΡΙΚΗ ΔΙΑΝΟΜΗ :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Διοικητή της Ανεξάρτητης Αρχής Δημοσίων Εσόδων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Γενικού Δ/ντή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Γενικού Δ/ντή Φορολογικών Λειτουργιών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Δ/νση Διαδικασιών Εισπράξεων και Επιστροφών ,Τμήματα Α-Γ,Γραμματεία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Δ/νση Επιχειρησιακού Σχεδιασμού Εισπράξεων και Επιστροφών, Τμήμα Β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Δ/νση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ideisep@aade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