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&amp;</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 2.</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b/>
          <w:bCs/>
          <w:lang w:val="el" w:eastAsia="el"/>
        </w:rPr>
        <w:t>ΔΙΕΥΘΥΝΣΗ ΕΦΑΡΜΟΓΗΣ ΕΜΜΕΣΗΣ</w:t>
      </w:r>
    </w:p>
    <w:p>
      <w:pPr>
        <w:pStyle w:val="Title"/>
        <w:spacing w:before="120" w:after="360"/>
        <w:rPr>
          <w:lang w:val="el" w:eastAsia="el"/>
        </w:rPr>
      </w:pPr>
      <w:r>
        <w:rPr>
          <w:b/>
          <w:bCs/>
          <w:lang w:val="el" w:eastAsia="el"/>
        </w:rPr>
        <w:t>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ΑΔΑ: 9Ο4Ι46ΜΠ3Ζ-Ξ91</w:t>
      </w:r>
    </w:p>
    <w:p>
      <w:pPr>
        <w:spacing w:before="240" w:after="240"/>
        <w:rPr>
          <w:lang w:val="el" w:eastAsia="el"/>
        </w:rPr>
      </w:pPr>
      <w:r>
        <w:rPr>
          <w:b/>
          <w:bCs/>
          <w:lang w:val="el" w:eastAsia="el"/>
        </w:rPr>
        <w:t>Αριθ. ΦΕΚ: Β΄ 6484/26.11.2024</w:t>
      </w:r>
    </w:p>
    <w:p>
      <w:pPr>
        <w:spacing w:before="240" w:after="240"/>
        <w:rPr>
          <w:lang w:val="el" w:eastAsia="el"/>
        </w:rPr>
      </w:pPr>
      <w:r>
        <w:rPr>
          <w:b/>
          <w:bCs/>
          <w:lang w:val="el" w:eastAsia="el"/>
        </w:rPr>
        <w:t>Αθήνα, 20.11.2024</w:t>
      </w:r>
    </w:p>
    <w:p>
      <w:pPr>
        <w:spacing w:before="240" w:after="240"/>
        <w:rPr>
          <w:lang w:val="el" w:eastAsia="el"/>
        </w:rPr>
      </w:pPr>
      <w:r>
        <w:rPr>
          <w:b/>
          <w:bCs/>
          <w:lang w:val="el" w:eastAsia="el"/>
        </w:rPr>
        <w:t>Α.1167</w:t>
      </w:r>
    </w:p>
    <w:p>
      <w:pPr>
        <w:spacing w:before="240" w:after="240"/>
        <w:rPr>
          <w:lang w:val="el" w:eastAsia="el"/>
        </w:rPr>
      </w:pPr>
      <w:r>
        <w:rPr>
          <w:b/>
          <w:bCs/>
          <w:lang w:val="el" w:eastAsia="el"/>
        </w:rPr>
        <w:t>Θέμα: «Κατάργηση της υπό στοιχεία 1120858/5411/1755/0014/ΠOΛ. 1272/27.10.1995 (Β΄ 1032) απόφασης του Υπουργού Οικονομικών περί προϋποθέσεων εξόφλησης πιστοποιούμενων λογαριασμών Δημοσίων Έργων».</w:t>
      </w:r>
    </w:p>
    <w:p>
      <w:pPr>
        <w:spacing w:before="240" w:after="240"/>
        <w:rPr>
          <w:lang w:val="el" w:eastAsia="el"/>
        </w:rPr>
      </w:pPr>
      <w:r>
        <w:rPr>
          <w:b/>
          <w:bCs/>
          <w:lang w:val="el" w:eastAsia="el"/>
        </w:rPr>
        <w:t>ΑΠΟΦΑΣΗΟ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 του άρθρου 41 , των παρ. 1, 2 ,4 και 6 του άρθρου 43 , του άρθρου 64 και του πρώτου εδαφίου του άρθρου 66 του Κώδικα Φόρου Προστιθέμενης Αξίας (ν. 5144/2024 Α΄162),</w:t>
      </w:r>
    </w:p>
    <w:p>
      <w:pPr>
        <w:pStyle w:val="StructureList1"/>
        <w:spacing w:before="120" w:after="0"/>
        <w:rPr>
          <w:lang w:val="el" w:eastAsia="el"/>
        </w:rPr>
      </w:pPr>
      <w:r>
        <w:rPr>
          <w:lang w:val="el" w:eastAsia="el"/>
        </w:rPr>
        <w:t>β)</w:t>
      </w:r>
      <w:r>
        <w:rPr>
          <w:lang w:val="en" w:eastAsia="en"/>
        </w:rPr>
        <w:tab/>
      </w:r>
      <w:r>
        <w:rPr>
          <w:b/>
          <w:bCs/>
          <w:lang w:val="el" w:eastAsia="el"/>
        </w:rPr>
        <w:t>του «Κώδικα Φορολογικής Διαδικασίας (ν. 5104/2024, Α΄58), εφεξής ΚΦΔ και ιδίως των άρθρων 36 και 41 αυτού,</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του άρθρου 41 αυτού.</w:t>
      </w:r>
    </w:p>
    <w:p>
      <w:pPr>
        <w:spacing w:before="240" w:after="240"/>
        <w:rPr>
          <w:lang w:val="el" w:eastAsia="el"/>
        </w:rPr>
      </w:pPr>
      <w:r>
        <w:rPr>
          <w:lang w:val="el" w:eastAsia="el"/>
        </w:rPr>
        <w:t xml:space="preserve">2. </w:t>
      </w:r>
      <w:r>
        <w:rPr>
          <w:b/>
          <w:bCs/>
          <w:lang w:val="el" w:eastAsia="el"/>
        </w:rPr>
        <w:t>Την υπό στοιχεία 1120858/5411/1755/0014/ΠOΛ. 1272/27.10.1995 απόφαση του Υπουργού Οικονομικών « Προϋποθέσεις εξόφλησης πιστοποιουμένων λογαριασμών Δημοσίων Έργων (Β΄1032).</w:t>
      </w:r>
    </w:p>
    <w:p>
      <w:pPr>
        <w:spacing w:before="240" w:after="240"/>
        <w:rPr>
          <w:lang w:val="el" w:eastAsia="el"/>
        </w:rPr>
      </w:pPr>
      <w:r>
        <w:rPr>
          <w:lang w:val="el" w:eastAsia="el"/>
        </w:rPr>
        <w:t xml:space="preserve">3. </w:t>
      </w:r>
      <w:r>
        <w:rPr>
          <w:b/>
          <w:bCs/>
          <w:lang w:val="el" w:eastAsia="el"/>
        </w:rPr>
        <w:t>Τo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 xml:space="preserve">4. </w:t>
      </w:r>
      <w:r>
        <w:rPr>
          <w:b/>
          <w:bCs/>
          <w:lang w:val="el" w:eastAsia="el"/>
        </w:rPr>
        <w:t>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 xml:space="preserve">5.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 xml:space="preserve">6.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7. </w:t>
      </w:r>
      <w:r>
        <w:rPr>
          <w:b/>
          <w:bCs/>
          <w:lang w:val="el" w:eastAsia="el"/>
        </w:rPr>
        <w:t>Την υπό στοιχεία 84913 ΕΞ 2023/17.6.2024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spacing w:before="240" w:after="240"/>
        <w:rPr>
          <w:lang w:val="el" w:eastAsia="el"/>
        </w:rPr>
      </w:pPr>
      <w:r>
        <w:rPr>
          <w:lang w:val="el" w:eastAsia="el"/>
        </w:rPr>
        <w:t xml:space="preserve">8. </w:t>
      </w:r>
      <w:r>
        <w:rPr>
          <w:b/>
          <w:bCs/>
          <w:lang w:val="el" w:eastAsia="el"/>
        </w:rPr>
        <w:t>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/Ενιαίων Διοικητικών Τομέων Υπουργείων» (Α΄123).</w:t>
      </w:r>
    </w:p>
    <w:p>
      <w:pPr>
        <w:spacing w:before="240" w:after="240"/>
        <w:rPr>
          <w:lang w:val="el" w:eastAsia="el"/>
        </w:rPr>
      </w:pPr>
      <w:r>
        <w:rPr>
          <w:lang w:val="el" w:eastAsia="el"/>
        </w:rPr>
        <w:t xml:space="preserve">9. </w:t>
      </w:r>
      <w:r>
        <w:rPr>
          <w:b/>
          <w:bCs/>
          <w:lang w:val="el" w:eastAsia="el"/>
        </w:rPr>
        <w:t>Το π.δ. 142/2017 «Οργανισμός Υπουργείου Οικονομικών», ( Α’ 181).</w:t>
      </w:r>
    </w:p>
    <w:p>
      <w:pPr>
        <w:spacing w:before="240" w:after="240"/>
        <w:rPr>
          <w:lang w:val="el" w:eastAsia="el"/>
        </w:rPr>
      </w:pPr>
      <w:r>
        <w:rPr>
          <w:lang w:val="el" w:eastAsia="el"/>
        </w:rPr>
        <w:t xml:space="preserve">10. </w:t>
      </w:r>
      <w:r>
        <w:rPr>
          <w:b/>
          <w:bCs/>
          <w:lang w:val="el" w:eastAsia="el"/>
        </w:rPr>
        <w:t>Την υπό στοιχείο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τις αποφάσεις υπό στοιχεία 39/3/30.11.2017 του Συμβουλίου Διοίκησης της Α.Α.Δ.Ε. (Υ.Ο.Δ.Δ.. 689) και υπό στοιχεία 5294 ΕΞ2020/17.01.2020 του Υπουργού Οικονομικών με θέμα «Ανανέωση της θητείας του Διοικητή της Ανεξάρτητης Αρχής Δημοσίων Εσόδων»(Υ.Ο.Δ.Δ. 27).</w:t>
      </w:r>
    </w:p>
    <w:p>
      <w:pPr>
        <w:spacing w:before="240" w:after="240"/>
        <w:rPr>
          <w:lang w:val="el" w:eastAsia="el"/>
        </w:rPr>
      </w:pPr>
      <w:r>
        <w:rPr>
          <w:lang w:val="el" w:eastAsia="el"/>
        </w:rPr>
        <w:t xml:space="preserve">11.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12. </w:t>
      </w:r>
      <w:r>
        <w:rPr>
          <w:b/>
          <w:bCs/>
          <w:lang w:val="el" w:eastAsia="el"/>
        </w:rPr>
        <w:t>Την ανάγκη κατάργησης της υποβολής στη Δ.Ο.Υ και στις λοιπές φορολογικές υπηρεσίες υπεύθυνης δήλωσης του ν. 1599/1986 (Α΄75) και την εν συνεχεία προσκόμισή της στις αρμόδιες για την εκκαθάριση υπηρεσίες των αναθετουσών τα δημόσια έργα αρχών, προκειμένου να εξοφληθούν τα τιμολόγια που έχουν εκδοθεί και δεν έχουν εξοφληθεί για πιστοποιήσεις προσωρινών ή οριστικών λογαριασμών των έργων αυτών, δεδομένης και της από 1.1.2014 αποσυσχέτισης της υποβολής της δήλωσης Φ.Π.Α. από την καταβολή του οφειλόμενου φόρου, βάσει της οποίας είναι δυνατή πλέον η υποβολή της δήλωσης, ανεξαρτήτως της καταβολής του οφειλόμενου φόρου και της προσυμπλήρωσης των στοιχείων των φορολογικών δηλωτικών υποχρεώσεων από τη διαβίβαση δεδομένων που διενεργούν οι υπόχρεες οντότητες της παρ. 1 του άρθρου 16 του ν. 5104/2024 (Α΄58) στην ψηφιακή πλατφόρμα myDATA της ΑΑΔΕ.</w:t>
      </w:r>
    </w:p>
    <w:p>
      <w:pPr>
        <w:spacing w:before="240" w:after="240"/>
        <w:rPr>
          <w:lang w:val="el" w:eastAsia="el"/>
        </w:rPr>
      </w:pPr>
      <w:r>
        <w:rPr>
          <w:lang w:val="el" w:eastAsia="el"/>
        </w:rPr>
        <w:t xml:space="preserve">13. </w:t>
      </w:r>
      <w:r>
        <w:rPr>
          <w:b/>
          <w:bCs/>
          <w:lang w:val="el" w:eastAsia="el"/>
        </w:rPr>
        <w:t>Το γεγονός ότι από την απόφαση αυτή δεν προκαλείται δαπάνη σε βάρος του κρατικού προϋπολογισμού, 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Καταργείται η υπό στοιχεία 1120858/5411/1755/0014/ΠOΛ. 1272/27.10.1995 (Β’ 1032) απόφαση του Υπουργού Οικονομικών.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ΙσχύςΗ απόφαση αυτή ισχύει από της δημοσιεύσεώς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w:t>
      </w:r>
    </w:p>
    <w:p>
      <w:pPr>
        <w:spacing w:before="240" w:after="240"/>
        <w:rPr>
          <w:lang w:val="el" w:eastAsia="el"/>
        </w:rPr>
      </w:pPr>
      <w:r>
        <w:rPr>
          <w:b/>
          <w:bCs/>
          <w:lang w:val="el" w:eastAsia="el"/>
        </w:rPr>
        <w:t>ΚΑΙ 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 πλην αριθμ. 2</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7"/>
        <w:gridCol w:w="51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αριθμ.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 αριθμ. 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4,8,9,10,13,19,20.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ΙΒ΄, ΙΖ΄, Κ΄,</w:t>
            </w:r>
          </w:p>
        </w:tc>
      </w:tr>
    </w:tbl>
    <w:p>
      <w:pPr>
        <w:spacing w:before="240" w:after="240"/>
        <w:rPr>
          <w:lang w:val="el" w:eastAsia="el"/>
        </w:rPr>
      </w:pPr>
      <w:r>
        <w:rPr>
          <w:lang w:val="el" w:eastAsia="el"/>
        </w:rPr>
        <w:t xml:space="preserve">8.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9.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10. </w:t>
      </w:r>
      <w:r>
        <w:rPr>
          <w:b/>
          <w:bCs/>
          <w:lang w:val="el" w:eastAsia="el"/>
        </w:rPr>
        <w:t>Γραφείο Γεν. Γραμματέα Φορολογικής Πολιτικής</w:t>
      </w:r>
    </w:p>
    <w:p>
      <w:pPr>
        <w:spacing w:before="240" w:after="240"/>
        <w:rPr>
          <w:lang w:val="el" w:eastAsia="el"/>
        </w:rPr>
      </w:pPr>
      <w:r>
        <w:rPr>
          <w:lang w:val="el" w:eastAsia="el"/>
        </w:rPr>
        <w:t xml:space="preserve">11.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