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ΕΘΝΙΚΗΣ ΟΙΚΟΝΟΜΙΑΣ</w:t>
      </w:r>
    </w:p>
    <w:p>
      <w:pPr>
        <w:pStyle w:val="Title"/>
        <w:spacing w:before="120" w:after="360"/>
        <w:rPr>
          <w:lang w:val="el" w:eastAsia="el"/>
        </w:rPr>
      </w:pPr>
      <w:r>
        <w:rPr>
          <w:b/>
          <w:bCs/>
          <w:lang w:val="el" w:eastAsia="el"/>
        </w:rPr>
        <w:t>&amp;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ΔΑΔΕ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Α.1122/31.7.2024 κοινής απόφασης του Υφυπουργού Εθνικής Οικονομίας &amp; Οικονομικών και του Διοικητή της Ανεξάρτητης Αρχής Δημοσίων Εσόδων (ΑΑΔΕ)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b/>
          <w:bCs/>
          <w:lang w:val="el" w:eastAsia="el"/>
        </w:rPr>
        <w:t>ΚΟΙΝΗ ΑΠΟΦΑΣΗΟ ΥΦΥΠΟΥΡΓΟΣ ΕΘΝΙΚΗΣ ΟΙΚΟΝΟΜΙΑΣ &amp; ΟΙΚΟΝΟΜΙΚΩΝ ΚΑΙ Ο ΔΙΟΙΚΗΤΗΣ ΤΗΣΑΝΕΞΑΡΤΗΤΗΣ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9Β του άρθρου 5 του ν.4308/2014 «Ελληνικά Λογιστικά Πρότυπα, συναφείς ρυθμίσεις και άλλες διατάξεις» (A΄ 251) και</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4.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5.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6. Το π.δ. 32/2024 «Διορισμός Υπουργών και Υφυπουργών» (Α’ 91).</w:t>
      </w:r>
    </w:p>
    <w:p>
      <w:pPr>
        <w:spacing w:before="240" w:after="240"/>
        <w:rPr>
          <w:lang w:val="el" w:eastAsia="el"/>
        </w:rPr>
      </w:pPr>
      <w:r>
        <w:rPr>
          <w:lang w:val="el" w:eastAsia="el"/>
        </w:rPr>
        <w:t xml:space="preserve">7. </w:t>
      </w:r>
      <w:r>
        <w:rPr>
          <w:b/>
          <w:bCs/>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lang w:val="el" w:eastAsia="el"/>
        </w:rPr>
        <w:t xml:space="preserve">8. </w:t>
      </w:r>
      <w:r>
        <w:rPr>
          <w:b/>
          <w:bCs/>
          <w:lang w:val="el" w:eastAsia="el"/>
        </w:rPr>
        <w:t>Την υπό στοιχεία Α. 1138/12.6.2020 κοινή Απόφαση του Υφυπουργού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9. </w:t>
      </w:r>
      <w:r>
        <w:rPr>
          <w:b/>
          <w:bCs/>
          <w:lang w:val="el" w:eastAsia="el"/>
        </w:rPr>
        <w:t>Την υπό στοιχεία Α. 1122/31.07.2024 κοινή απόφαση του Υφυπουργού Εθνικής Οικονομίας &amp;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lang w:val="el" w:eastAsia="el"/>
        </w:rPr>
        <w:t xml:space="preserve">10. </w:t>
      </w:r>
      <w:r>
        <w:rPr>
          <w:b/>
          <w:bCs/>
          <w:lang w:val="el" w:eastAsia="el"/>
        </w:rPr>
        <w:t>Την υπό στοιχεία Α. 1123/15.7.2024 απόφαση του Διοικητή της Ανεξάρτητης Αρχής Δημοσίων Εσόδων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(Β΄4571).</w:t>
      </w:r>
    </w:p>
    <w:p>
      <w:pPr>
        <w:spacing w:before="240" w:after="240"/>
        <w:rPr>
          <w:lang w:val="el" w:eastAsia="el"/>
        </w:rPr>
      </w:pPr>
      <w:r>
        <w:rPr>
          <w:lang w:val="el" w:eastAsia="el"/>
        </w:rPr>
        <w:t xml:space="preserve">11.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(Υ.Ο.Δ.Δ. 689) απόφαση του Συμβουλίου Διοίκησης της Α.Α.Δ.Ε. και την υπό στοιχεία 5294ΕΞ2020/17.01.2020 (Υ.Ο.Δ.Δ. 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12. </w:t>
      </w:r>
      <w:r>
        <w:rPr>
          <w:b/>
          <w:bCs/>
          <w:lang w:val="el" w:eastAsia="el"/>
        </w:rPr>
        <w:t>Την ανάγκη μετάθεσης του χρόνου έναρξης της εφαρμογής της ψηφιακής έκδοσης παραστατικών διακίνησης αγαθών για τη ψηφιακή παρακολούθηση, την τεκμηρίωση των διακινήσεων, καθώς και τη συγκέντρωση και αξιοποίηση πληροφοριών, με σκοπό τη φορολογική συμμόρφωση των υπόχρεων οντοτήτων και παράλληλα την αποφυγή της υπέρμετρης επιβάρυνσης αυτών.</w:t>
      </w:r>
    </w:p>
    <w:p>
      <w:pPr>
        <w:spacing w:before="240" w:after="240"/>
        <w:rPr>
          <w:lang w:val="el" w:eastAsia="el"/>
        </w:rPr>
      </w:pPr>
      <w:r>
        <w:rPr>
          <w:lang w:val="el" w:eastAsia="el"/>
        </w:rPr>
        <w:t xml:space="preserve">13.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Α.1122/31.7.2024 κοινή απόφαση του Υφυπουργού Εθνικής Οικονομίας &amp; Οικονομικών και του Διοικητή της Ανεξάρτητης Αρχής Δημοσίων Εσόδων (ΑΑΔΕ)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1 του άρθρου 4 αντικαθίσταται ως εξής:</w:t>
      </w:r>
    </w:p>
    <w:p>
      <w:pPr>
        <w:spacing w:before="240" w:after="240"/>
        <w:rPr>
          <w:lang w:val="el" w:eastAsia="el"/>
        </w:rPr>
      </w:pPr>
      <w:r>
        <w:rPr>
          <w:b/>
          <w:bCs/>
          <w:lang w:val="el" w:eastAsia="el"/>
        </w:rPr>
        <w:t>«1. Από την ημερομηνία έκδοσης της παρούσας έως και την 31.03.2025 δύναται να διαβιβάζονται στην ψηφιακή πλατφόρμα myDATA τα δεδομένα της ψηφιακής παρακολούθησης διακίνησης αγαθών για τις υπόχρεες οντότητες της πρώτης περιόδου, σύμφωνα με τα οριζόμενα της περ. α΄ της παρ. 3 του άρθρου 1 της παρούσας, για την πρώτη φάση της ψηφιακής παρακολούθησης διακίνησης αγαθών, σύμφωνα με το Παράρτημα της υπό στοιχεία Α.1123/2024 απόφασης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2 του άρθρου 4 αντικαθίσταται ως εξής:</w:t>
      </w:r>
    </w:p>
    <w:p>
      <w:pPr>
        <w:spacing w:before="240" w:after="240"/>
        <w:rPr>
          <w:lang w:val="el" w:eastAsia="el"/>
        </w:rPr>
      </w:pPr>
      <w:r>
        <w:rPr>
          <w:b/>
          <w:bCs/>
          <w:lang w:val="el" w:eastAsia="el"/>
        </w:rPr>
        <w:t>«2. Από την 01.04.2025 και εφεξής διαβιβάζονται υποχρεωτικά στην ψηφιακή πλατφόρμα myDATA τα δεδομένα της ψηφιακής παρακολούθησης διακίνησης αγαθών της πρώτης φάσης, σύμφωνα με το Παράρτημα της υπό στοιχεία Α.1123/2024 απόφασης του Διοικητή της ΑΑΔΕ, για τις υπόχρεες οντότητες της πρώτης περιόδου που έχουν ακαθάριστα έσοδα πάνω από 200.000,00€, καθώς και για αυτές που διακινούν φάρμακα και ιατρικά αναλώσιμα, ενεργειακά προϊόντα, οικοδομικά υλικά, ελαιόκαρπο και ελαιόλαδο.»</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3 του άρθρου 4 αντικαθίσταται ως εξής:</w:t>
      </w:r>
    </w:p>
    <w:p>
      <w:pPr>
        <w:spacing w:before="240" w:after="240"/>
        <w:rPr>
          <w:lang w:val="el" w:eastAsia="el"/>
        </w:rPr>
      </w:pPr>
      <w:r>
        <w:rPr>
          <w:b/>
          <w:bCs/>
          <w:lang w:val="el" w:eastAsia="el"/>
        </w:rPr>
        <w:t>«3. Από την ημερομηνία έκδοσης της παρούσας έως και την 30.09.2025 δύναται να διαβιβάζονται στην ψηφιακή πλατφόρμα myDATA τα δεδομένα της ψηφιακής παρακολούθησης διακίνησης αγαθών για τις υπόχρεες οντότητες της δεύτερης περιόδου, σύμφωνα με τα οριζόμενα της περ. β΄ της παρ. 3 του άρθρου 1 της παρούσας, για την πρώτη φάση της ψηφιακής παρακολούθησης διακίνησης αγαθών, σύμφωνα με το Παράρτημα της υπό στοιχεία Α.1123/2024 απόφασης του Διοικητή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Η παρ. 4 του άρθρου 4 αντικαθίσταται ως εξής:</w:t>
      </w:r>
    </w:p>
    <w:p>
      <w:pPr>
        <w:spacing w:before="240" w:after="240"/>
        <w:rPr>
          <w:lang w:val="el" w:eastAsia="el"/>
        </w:rPr>
      </w:pPr>
      <w:r>
        <w:rPr>
          <w:b/>
          <w:bCs/>
          <w:lang w:val="el" w:eastAsia="el"/>
        </w:rPr>
        <w:t xml:space="preserve">«4. Από την 01.05.2025 έως και την 30.09.2025 δύναται να διαβιβάζονται στην ψηφιακή πλατφόρμα myDATA τα δεδομένα της ψηφιακής παρακολούθησης διακίνησης αγαθών για το σύνολο των οντοτήτων της παρ. 1 του άρθρου 1, </w:t>
      </w:r>
    </w:p>
    <w:p>
      <w:pPr>
        <w:spacing w:before="240" w:after="240"/>
        <w:rPr>
          <w:lang w:val="el" w:eastAsia="el"/>
        </w:rPr>
      </w:pPr>
      <w:r>
        <w:rPr>
          <w:b/>
          <w:bCs/>
          <w:lang w:val="el" w:eastAsia="el"/>
        </w:rPr>
        <w:t>για την δεύτερη φάση της ψηφιακήςπαρακολούθησης διακίνησης αγαθών, σύμφωνα με το Παράρτημα της υπό στοιχεία Α.1123/2024 απόφασης του Διοικητή της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 5 του άρθρου 4 αντικαθίσταται ως εξής:</w:t>
      </w:r>
    </w:p>
    <w:p>
      <w:pPr>
        <w:spacing w:before="240" w:after="240"/>
        <w:rPr>
          <w:lang w:val="el" w:eastAsia="el"/>
        </w:rPr>
      </w:pPr>
      <w:r>
        <w:rPr>
          <w:b/>
          <w:bCs/>
          <w:lang w:val="el" w:eastAsia="el"/>
        </w:rPr>
        <w:t>«5. Από την 01.10.2025 και εφεξής διαβιβάζονται υποχρεωτικά στην ψηφιακή πλατφόρμα myDATA τα δεδομένα της ψηφιακής παρακολούθησης διακίνησης αγαθών για το σύνολο των υπόχρεων οντοτήτων της παρούσας.»</w:t>
      </w:r>
    </w:p>
    <w:p>
      <w:pPr>
        <w:pStyle w:val="MainText"/>
        <w:spacing w:before="120" w:after="0"/>
        <w:rPr>
          <w:lang w:val="el" w:eastAsia="el"/>
        </w:rPr>
      </w:pPr>
      <w:r>
        <w:rPr>
          <w:b/>
          <w:bCs/>
          <w:lang w:val="el" w:eastAsia="el"/>
        </w:rPr>
        <w:t>6.</w:t>
      </w:r>
      <w:r>
        <w:rPr>
          <w:lang w:val="el" w:eastAsia="el"/>
        </w:rPr>
        <w:t xml:space="preserve"> </w:t>
      </w:r>
      <w:r>
        <w:rPr>
          <w:b/>
          <w:bCs/>
          <w:lang w:val="el" w:eastAsia="el"/>
        </w:rPr>
        <w:t>Η παρ. 7 του άρθρου 4 αντικαθίσταται ως εξής:</w:t>
      </w:r>
    </w:p>
    <w:p>
      <w:pPr>
        <w:spacing w:before="240" w:after="240"/>
        <w:rPr>
          <w:lang w:val="el" w:eastAsia="el"/>
        </w:rPr>
      </w:pPr>
      <w:r>
        <w:rPr>
          <w:b/>
          <w:bCs/>
          <w:lang w:val="el" w:eastAsia="el"/>
        </w:rPr>
        <w:t>«7. Οι υποπερ. (α) και (γ) της περ. ιζ) της παρ. 5.8.4 της υπό στοιχεία ΠΟΛ. 1003/2014 παύουν να ισχύουν από 01.04.2025 και εφεξής ενώ από 01.10.2025 παύει να ισχύει η εν λόγω παράγραφος στο σύνολό της.»</w:t>
      </w:r>
    </w:p>
    <w:p>
      <w:pPr>
        <w:pStyle w:val="MainText"/>
        <w:spacing w:before="120" w:after="0"/>
        <w:rPr>
          <w:lang w:val="el" w:eastAsia="el"/>
        </w:rPr>
      </w:pPr>
      <w:r>
        <w:rPr>
          <w:b/>
          <w:bCs/>
          <w:lang w:val="el" w:eastAsia="el"/>
        </w:rPr>
        <w:t>7.</w:t>
      </w:r>
      <w:r>
        <w:rPr>
          <w:lang w:val="el" w:eastAsia="el"/>
        </w:rPr>
        <w:t xml:space="preserve"> </w:t>
      </w:r>
      <w:r>
        <w:rPr>
          <w:b/>
          <w:bCs/>
          <w:lang w:val="el" w:eastAsia="el"/>
        </w:rPr>
        <w:t>Η παρ. 9 του άρθρου 4 αντικαθίσταται ως εξής:</w:t>
      </w:r>
    </w:p>
    <w:p>
      <w:pPr>
        <w:spacing w:before="240" w:after="240"/>
        <w:rPr>
          <w:lang w:val="el" w:eastAsia="el"/>
        </w:rPr>
      </w:pPr>
      <w:r>
        <w:rPr>
          <w:b/>
          <w:bCs/>
          <w:lang w:val="el" w:eastAsia="el"/>
        </w:rPr>
        <w:t>«9. Η απόφαση αυτή ισχύει από τη δημοσίευσή της στην Εφημερίδα της Κυβερνήσεως πλην του άρθρου 2, το οποίο τίθεται σε ισχύ από την 01.10.2025.»</w:t>
      </w:r>
    </w:p>
    <w:p>
      <w:pPr>
        <w:pStyle w:val="MainText"/>
        <w:spacing w:before="120" w:after="0"/>
        <w:rPr>
          <w:lang w:val="el" w:eastAsia="el"/>
        </w:rPr>
      </w:pPr>
      <w:r>
        <w:rPr>
          <w:b/>
          <w:bCs/>
          <w:lang w:val="el" w:eastAsia="el"/>
        </w:rPr>
        <w:t>8.</w:t>
      </w:r>
      <w:r>
        <w:rPr>
          <w:lang w:val="el" w:eastAsia="el"/>
        </w:rPr>
        <w:t xml:space="preserve">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ΥΦΥΠΟΥΡΓΟΣ ΕΘΝΙΚΗΣ ΟΙΚΟΝΟΜΙΑΣ </w:t>
      </w:r>
    </w:p>
    <w:p>
      <w:pPr>
        <w:spacing w:before="240" w:after="240"/>
        <w:rPr>
          <w:lang w:val="el" w:eastAsia="el"/>
        </w:rPr>
      </w:pPr>
      <w:r>
        <w:rPr>
          <w:b/>
          <w:bCs/>
          <w:lang w:val="el" w:eastAsia="el"/>
        </w:rPr>
        <w:t>&amp;ΟΙΚΟΝΟΜΙΚΩΝ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lang w:val="el" w:eastAsia="el"/>
        </w:rPr>
        <w:t xml:space="preserve">3. </w:t>
      </w:r>
      <w:r>
        <w:rPr>
          <w:b/>
          <w:bCs/>
          <w:lang w:val="el" w:eastAsia="el"/>
        </w:rPr>
        <w:t>Αποδέκτες πίνακα Γ΄</w:t>
      </w:r>
    </w:p>
    <w:p>
      <w:pPr>
        <w:spacing w:before="240" w:after="240"/>
        <w:rPr>
          <w:lang w:val="el" w:eastAsia="el"/>
        </w:rPr>
      </w:pPr>
      <w:r>
        <w:rPr>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Προϊστάμενος της Γενικής Δ/νσης Σ.Δ.Ο.Ε.</w:t>
      </w:r>
    </w:p>
    <w:p>
      <w:pPr>
        <w:spacing w:before="240" w:after="240"/>
        <w:rPr>
          <w:lang w:val="el" w:eastAsia="el"/>
        </w:rPr>
      </w:pPr>
      <w:r>
        <w:rPr>
          <w:lang w:val="el" w:eastAsia="el"/>
        </w:rPr>
        <w:t xml:space="preserve">5. </w:t>
      </w:r>
      <w:r>
        <w:rPr>
          <w:b/>
          <w:bCs/>
          <w:lang w:val="el" w:eastAsia="el"/>
        </w:rPr>
        <w:t>Αποδέκτες πίνακα Ζ’, Η’</w:t>
      </w:r>
    </w:p>
    <w:p>
      <w:pPr>
        <w:spacing w:before="240" w:after="240"/>
        <w:rPr>
          <w:lang w:val="el" w:eastAsia="el"/>
        </w:rPr>
      </w:pPr>
      <w:r>
        <w:rPr>
          <w:lang w:val="el" w:eastAsia="el"/>
        </w:rPr>
        <w:t xml:space="preserve">6. </w:t>
      </w:r>
      <w:r>
        <w:rPr>
          <w:b/>
          <w:bCs/>
          <w:lang w:val="el" w:eastAsia="el"/>
        </w:rPr>
        <w:t>Αποδέκτες πίνακα ΙΑ’ εκτός από τα υποθηκοφυλάκεια, ΙΣΤ’</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Αποδέκτες πίνακα ΙΓ’</w:t>
      </w:r>
    </w:p>
    <w:p>
      <w:pPr>
        <w:spacing w:before="240" w:after="240"/>
        <w:rPr>
          <w:lang w:val="el" w:eastAsia="el"/>
        </w:rPr>
      </w:pPr>
      <w:r>
        <w:rPr>
          <w:lang w:val="el" w:eastAsia="el"/>
        </w:rPr>
        <w:t xml:space="preserve">9. </w:t>
      </w:r>
      <w:r>
        <w:rPr>
          <w:b/>
          <w:bCs/>
          <w:lang w:val="el" w:eastAsia="el"/>
        </w:rPr>
        <w:t>Αποδέκτες πίνακα ΙΣΤ’</w:t>
      </w:r>
    </w:p>
    <w:p>
      <w:pPr>
        <w:spacing w:before="240" w:after="240"/>
        <w:rPr>
          <w:lang w:val="el" w:eastAsia="el"/>
        </w:rPr>
      </w:pPr>
      <w:r>
        <w:rPr>
          <w:lang w:val="el" w:eastAsia="el"/>
        </w:rPr>
        <w:t xml:space="preserve">10. </w:t>
      </w:r>
      <w:r>
        <w:rPr>
          <w:b/>
          <w:bCs/>
          <w:lang w:val="el" w:eastAsia="el"/>
        </w:rPr>
        <w:t>Αποδέκτες πίνακα ΙΖ’</w:t>
      </w:r>
    </w:p>
    <w:p>
      <w:pPr>
        <w:spacing w:before="240" w:after="240"/>
        <w:rPr>
          <w:lang w:val="el" w:eastAsia="el"/>
        </w:rPr>
      </w:pPr>
      <w:r>
        <w:rPr>
          <w:lang w:val="el" w:eastAsia="el"/>
        </w:rPr>
        <w:t xml:space="preserve">11. </w:t>
      </w:r>
      <w:r>
        <w:rPr>
          <w:b/>
          <w:bCs/>
          <w:lang w:val="el" w:eastAsia="el"/>
        </w:rPr>
        <w:t>Αποδέκτες πίνακα ΙΗ’</w:t>
      </w:r>
    </w:p>
    <w:p>
      <w:pPr>
        <w:spacing w:before="240" w:after="240"/>
        <w:rPr>
          <w:lang w:val="el" w:eastAsia="el"/>
        </w:rPr>
      </w:pPr>
      <w:r>
        <w:rPr>
          <w:lang w:val="el" w:eastAsia="el"/>
        </w:rPr>
        <w:t xml:space="preserve">12. </w:t>
      </w:r>
      <w:r>
        <w:rPr>
          <w:b/>
          <w:bCs/>
          <w:lang w:val="el" w:eastAsia="el"/>
        </w:rPr>
        <w:t>Αποδέκτες πίνακα ΚΒ’</w:t>
      </w:r>
    </w:p>
    <w:p>
      <w:pPr>
        <w:spacing w:before="240" w:after="240"/>
        <w:rPr>
          <w:lang w:val="el" w:eastAsia="el"/>
        </w:rPr>
      </w:pPr>
      <w:r>
        <w:rPr>
          <w:lang w:val="el" w:eastAsia="el"/>
        </w:rPr>
        <w:t xml:space="preserve">13. </w:t>
      </w:r>
      <w:r>
        <w:rPr>
          <w:b/>
          <w:bCs/>
          <w:lang w:val="el" w:eastAsia="el"/>
        </w:rPr>
        <w:t>Αποδέκτες πίνακα ΚΓ’</w:t>
      </w:r>
    </w:p>
    <w:p>
      <w:pPr>
        <w:spacing w:before="240" w:after="240"/>
        <w:rPr>
          <w:lang w:val="el" w:eastAsia="el"/>
        </w:rPr>
      </w:pPr>
      <w:r>
        <w:rPr>
          <w:lang w:val="el" w:eastAsia="el"/>
        </w:rPr>
        <w:t xml:space="preserve">14.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Διαχείρισης Υποδομών-Τμήμα Ε’</w:t>
      </w:r>
    </w:p>
    <w:p>
      <w:pPr>
        <w:spacing w:before="240" w:after="240"/>
        <w:rPr>
          <w:lang w:val="el" w:eastAsia="el"/>
        </w:rPr>
      </w:pPr>
      <w:r>
        <w:rPr>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lang w:val="el" w:eastAsia="el"/>
        </w:rPr>
        <w:t xml:space="preserve">8.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9. </w:t>
      </w:r>
      <w:r>
        <w:rPr>
          <w:b/>
          <w:bCs/>
          <w:lang w:val="el" w:eastAsia="el"/>
        </w:rPr>
        <w:t>Διεύθυνση Ελεγκτικών Διαδικασιών-Τμήμα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