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98995/16-12-2024</w:t>
      </w:r>
    </w:p>
    <w:p>
      <w:pPr>
        <w:pStyle w:val="Title"/>
        <w:spacing w:before="120" w:after="360"/>
        <w:rPr>
          <w:lang w:val="el" w:eastAsia="el"/>
        </w:rPr>
      </w:pPr>
      <w:r>
        <w:rPr>
          <w:lang w:val="el" w:eastAsia="el"/>
        </w:rPr>
        <w:t>Καθορισμός του ποσού των ενισχύσεων για τα επενδυτικά σχέδια που έχουν χαρακτηρισθεί «Εμβληματικές Επενδύσεις Εξαιρετικής Σημασίας», τα οποία χρηματοδοτούνται συνδυαστικά από το Ταμείο Ανάκαμψης και Ανθεκτικότητας (επιχορηγήσεις) και από τον κρατικό προϋπολογισμό (φοροαπαλλαγές) και για τα οποία εκδίδεται, εντός του 2024, απόφαση χορήγησης κινήτρων και ενισχύσεων σύμφωνα με το άρθρο 16 του ν. 4864/2021</w:t>
      </w:r>
      <w:r>
        <w:rPr>
          <w:rStyle w:val="Hyperlink"/>
          <w:color w:val="000000"/>
          <w:sz w:val="20"/>
          <w:szCs w:val="20"/>
          <w:u w:val="none" w:color="0000EE"/>
          <w:vertAlign w:val="superscript"/>
          <w:lang w:val="el" w:eastAsia="el"/>
        </w:rPr>
        <w:footnoteReference w:id="2"/>
      </w:r>
    </w:p>
    <w:p>
      <w:pPr>
        <w:pStyle w:val="Title"/>
        <w:spacing w:before="120" w:after="360"/>
        <w:rPr>
          <w:lang w:val="el" w:eastAsia="el"/>
        </w:rPr>
      </w:pPr>
      <w:r>
        <w:rPr>
          <w:b/>
          <w:bCs/>
          <w:lang w:val="el" w:eastAsia="el"/>
        </w:rPr>
        <w:t>Αριθμ. 98995/2024</w:t>
      </w:r>
    </w:p>
    <w:p>
      <w:pPr>
        <w:pStyle w:val="PreambelText"/>
        <w:spacing w:before="240" w:after="240"/>
        <w:rPr>
          <w:lang w:val="el" w:eastAsia="el"/>
        </w:rPr>
      </w:pPr>
      <w:r>
        <w:rPr>
          <w:lang w:val="el" w:eastAsia="el"/>
        </w:rPr>
        <w:t>(ΦΕΚ Β' 6912/17-12-2024)</w:t>
      </w:r>
    </w:p>
    <w:p>
      <w:pPr>
        <w:pStyle w:val="PreambelText"/>
        <w:spacing w:before="240" w:after="240"/>
        <w:rPr>
          <w:lang w:val="el" w:eastAsia="el"/>
        </w:rPr>
      </w:pPr>
      <w:r>
        <w:rPr>
          <w:lang w:val="el" w:eastAsia="el"/>
        </w:rPr>
        <w:t>ΟΙ ΥΠΟΥΡΓΟΙ</w:t>
      </w:r>
    </w:p>
    <w:p>
      <w:pPr>
        <w:pStyle w:val="PreambelText"/>
        <w:spacing w:before="240" w:after="240"/>
        <w:rPr>
          <w:lang w:val="el" w:eastAsia="el"/>
        </w:rPr>
      </w:pPr>
      <w:r>
        <w:rPr>
          <w:lang w:val="el" w:eastAsia="el"/>
        </w:rPr>
        <w:t>ΕΘΝΙΚΗΣ ΟΙΚΟΝΟΜΙΑΣ ΚΑΙ ΟΙΚΟΝΟΜΙΚΩΝ-ΑΝΑΠΤΥΞΗΣ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Τα άρθρα 1 έως 30 του ν. 4864/2021 «Στρατηγικές επενδύσεις και βελτίωση του επενδυτικού περιβάλλοντος μέσω της επιτάχυνσης διαδικασιών στις ιδιωτικές και στρατηγικές επενδύσεις, δημιουργία πλαισίου για τις εταιρείες τεχνοβλαστούς και άλλες επείγουσες διατάξεις για την ανάπτυξη» (Α’ 237) και ιδίως την παρ. 6 του άρθρου 28 και την παρ. 5 του άρθρου 10 αυτού.</w:t>
      </w:r>
    </w:p>
    <w:p>
      <w:pPr>
        <w:pStyle w:val="PreambelText"/>
        <w:spacing w:before="240" w:after="240"/>
        <w:rPr>
          <w:lang w:val="el" w:eastAsia="el"/>
        </w:rPr>
      </w:pPr>
      <w:r>
        <w:rPr>
          <w:lang w:val="el" w:eastAsia="el"/>
        </w:rPr>
        <w:t>2. Τον ν. 4270/2014 «Αρχές δημοσιονομικής διαχείρισης και εποπτείας (ενσωμάτωση της Οδηγίας 2011/85/ ΕΕ) δημόσιο λογιστικό και άλλες διατάξεις» (Α’ 143) και ιδίως τα άρθρα 20 και 23 αυτού.</w:t>
      </w:r>
    </w:p>
    <w:p>
      <w:pPr>
        <w:pStyle w:val="PreambelText"/>
        <w:spacing w:before="240" w:after="240"/>
        <w:rPr>
          <w:lang w:val="el" w:eastAsia="el"/>
        </w:rPr>
      </w:pPr>
      <w:r>
        <w:rPr>
          <w:lang w:val="el" w:eastAsia="el"/>
        </w:rPr>
        <w:t>3.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4. Το άρθρο 90 του Κώδικα Νομοθεσίας για την Κυβέρνηση και τα κυβερνητικά όργανα (π.δ. 63/2005, Α’ 98), όπως διατηρήθηκε σε ισχύ με την περ. 22 του άρθρου 119 του ν. 4622/2019 (Α’ 133).</w:t>
      </w:r>
    </w:p>
    <w:p>
      <w:pPr>
        <w:pStyle w:val="PreambelText"/>
        <w:spacing w:before="240" w:after="240"/>
        <w:rPr>
          <w:lang w:val="el" w:eastAsia="el"/>
        </w:rPr>
      </w:pPr>
      <w:r>
        <w:rPr>
          <w:lang w:val="el" w:eastAsia="el"/>
        </w:rPr>
        <w:t>5. Το π.δ. 5/2022 «Οργανισμός Υπουργείου Ανάπτυξης και Επενδύσεων» (Α’ 15).</w:t>
      </w:r>
    </w:p>
    <w:p>
      <w:pPr>
        <w:pStyle w:val="PreambelText"/>
        <w:spacing w:before="240" w:after="240"/>
        <w:rPr>
          <w:lang w:val="el" w:eastAsia="el"/>
        </w:rPr>
      </w:pPr>
      <w:r>
        <w:rPr>
          <w:lang w:val="el" w:eastAsia="el"/>
        </w:rPr>
        <w:t>6. Το π.δ. 142/2017 «Οργανισμός Υπουργείου Οικονομικών» (Α’ 181).</w:t>
      </w:r>
    </w:p>
    <w:p>
      <w:pPr>
        <w:pStyle w:val="PreambelText"/>
        <w:spacing w:before="240" w:after="240"/>
        <w:rPr>
          <w:lang w:val="el" w:eastAsia="el"/>
        </w:rPr>
      </w:pPr>
      <w:r>
        <w:rPr>
          <w:lang w:val="el" w:eastAsia="el"/>
        </w:rPr>
        <w:t>7. Το π.δ. 77/2023 «Σύσταση Υπουργείου και μετονομασία Υπουργείων Σύσταση, κατάργηση και μετονομασία Γενικών και Ειδικών Γραμματειών Μεταφορά αρμοδιοτήτων, υπηρεσιακών μονάδων, θέσεων προσωπικού και εποπτευόμενων φορέων» (Α’ 130) όπως τροποποιήθηκε με το π.δ. 82/2023 (Α’ 139).</w:t>
      </w:r>
    </w:p>
    <w:p>
      <w:pPr>
        <w:pStyle w:val="PreambelText"/>
        <w:spacing w:before="240" w:after="240"/>
        <w:rPr>
          <w:lang w:val="el" w:eastAsia="el"/>
        </w:rPr>
      </w:pPr>
      <w:r>
        <w:rPr>
          <w:lang w:val="el" w:eastAsia="el"/>
        </w:rPr>
        <w:t>8. Το π.δ. 79/2023 «Διορισμός Υπουργών, Αναπληρωτών Υπουργών και Υφυπουργών» (Α’ 131).</w:t>
      </w:r>
    </w:p>
    <w:p>
      <w:pPr>
        <w:pStyle w:val="PreambelText"/>
        <w:spacing w:before="240" w:after="240"/>
        <w:rPr>
          <w:lang w:val="el" w:eastAsia="el"/>
        </w:rPr>
      </w:pPr>
      <w:r>
        <w:rPr>
          <w:lang w:val="el" w:eastAsia="el"/>
        </w:rPr>
        <w:t>9. Το π.δ. 32/2024 «Διορισμός Υπουργών και Υφυπουργών» (Α’ 91).</w:t>
      </w:r>
    </w:p>
    <w:p>
      <w:pPr>
        <w:pStyle w:val="PreambelText"/>
        <w:spacing w:before="240" w:after="240"/>
        <w:rPr>
          <w:lang w:val="el" w:eastAsia="el"/>
        </w:rPr>
      </w:pPr>
      <w:r>
        <w:rPr>
          <w:lang w:val="el" w:eastAsia="el"/>
        </w:rPr>
        <w:t>10. Την υπό στοιχεία Υ12/07.07.2023 απόφαση του Πρωθυπουργού «Ανάθεση αρμοδιοτήτων στον Αναπληρωτή Υπουργό Οικονομικών, Νικόλαο Παπαθανάση» (Β’ 4403).</w:t>
      </w:r>
    </w:p>
    <w:p>
      <w:pPr>
        <w:pStyle w:val="PreambelText"/>
        <w:spacing w:before="240" w:after="240"/>
        <w:rPr>
          <w:lang w:val="el" w:eastAsia="el"/>
        </w:rPr>
      </w:pPr>
      <w:r>
        <w:rPr>
          <w:lang w:val="el" w:eastAsia="el"/>
        </w:rPr>
        <w:t>11. Την υπό στοιχεία 102928 ΕΞ 2023/10.07.2023 κοινή απόφαση του Πρωθυπουργού και του Υπουργού Οικονομικών «Ανάθεση αρμοδιοτήτων στον Υφυπουργό Οικονομικών, Αθανάσιο Πετραλιά» (Β’ 4441).</w:t>
      </w:r>
    </w:p>
    <w:p>
      <w:pPr>
        <w:pStyle w:val="PreambelText"/>
        <w:spacing w:before="240" w:after="240"/>
        <w:rPr>
          <w:lang w:val="el" w:eastAsia="el"/>
        </w:rPr>
      </w:pPr>
      <w:r>
        <w:rPr>
          <w:lang w:val="el" w:eastAsia="el"/>
        </w:rPr>
        <w:t>12. Την υπό στοιχεία 32787ΕΞ2022/11.3.2022 απόφαση του Αναπληρωτή Υπουργού Οικονομικών για την ένταξη του έργου με τίτλο «Subproject 1: Εμβληματικές Επενδύσεις Εξαιρετικής Σημασίας» (κωδικός ΟΠΣ ΤΑ 5165175) στο Ταμείο Ανάκαμψης και Ανθεκτικότητας (ΑΔΑ: 62Δ9Η-0ΗΤ) και την υπ’ αρ. 59070/7.6.2022 απόφαση του Υφυπουργού Ανάπτυξης και Επενδύσεων για την ένταξη του έργου στο ΠΔΕ 2022 με κωδικό έργου 2022ΤΑ01900003 (ΑΔΑ: 6Θ9Λ46ΜΤΛΡ-0Ι4).</w:t>
      </w:r>
    </w:p>
    <w:p>
      <w:pPr>
        <w:pStyle w:val="PreambelText"/>
        <w:spacing w:before="240" w:after="240"/>
        <w:rPr>
          <w:lang w:val="el" w:eastAsia="el"/>
        </w:rPr>
      </w:pPr>
      <w:r>
        <w:rPr>
          <w:lang w:val="el" w:eastAsia="el"/>
        </w:rPr>
        <w:t>13. Τον Γενικό Απαλλακτικό Κανονισμό 651/2014 της Ευρωπαϊκής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(EE L 187 της 26.06.2014, σ. 1-178), όπως τροποποιήθηκε με τον κανονισμό 2023/1315 της Επιτροπής της 23ης Ιουνίου 2023.</w:t>
      </w:r>
    </w:p>
    <w:p>
      <w:pPr>
        <w:pStyle w:val="PreambelText"/>
        <w:spacing w:before="240" w:after="240"/>
        <w:rPr>
          <w:lang w:val="el" w:eastAsia="el"/>
        </w:rPr>
      </w:pPr>
      <w:r>
        <w:rPr>
          <w:lang w:val="el" w:eastAsia="el"/>
        </w:rPr>
        <w:t>14. Την υπ’ αρ. 90167/20.11.2024 εισήγηση της Γενικής Διεύθυνσης Οικονομικών Υπηρεσιών του Υπουργείου Ανάπτυξης, όπως προβλέπεται στην περ. ε της παρ. 5 του άρθρου 24 του ν. 4270/2014.</w:t>
      </w:r>
    </w:p>
    <w:p>
      <w:pPr>
        <w:pStyle w:val="PreambelText"/>
        <w:spacing w:before="240" w:after="240"/>
        <w:rPr>
          <w:lang w:val="el" w:eastAsia="el"/>
        </w:rPr>
      </w:pPr>
      <w:r>
        <w:rPr>
          <w:lang w:val="el" w:eastAsia="el"/>
        </w:rPr>
        <w:t xml:space="preserve">15. Το γεγονός ότι από τις διατάξεις της παρούσας απόφασης προκαλείται επιβάρυνση του Ταμείου Ανάπτυξης και Ανθεκτικότητας και του κρατικού προϋπολογισμού, το ύψος της οποίας αναλύεται στο άρθρο 3 της παρούσας. Η προκαλούμενη δαπάνη θα αντιμετωπισθεί στο πλαίσιο των υφιστάμενων ορίων του Μεσοπρόθεσμου Πλαισίου Δημοσιονομικής Στρατηγικής, </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Ποσό φορολογικής απαλλαγής</w:t>
      </w:r>
    </w:p>
    <w:p>
      <w:pPr>
        <w:spacing w:before="240" w:after="240"/>
        <w:rPr>
          <w:lang w:val="el" w:eastAsia="el"/>
        </w:rPr>
      </w:pPr>
      <w:r>
        <w:rPr>
          <w:lang w:val="el" w:eastAsia="el"/>
        </w:rPr>
        <w:t>Το συνολικό ποσό της φορολογικής απαλλαγής για τα επενδυτικά σχέδια που έχουν χαρακτηρισθεί «Εμβληματικές Επενδύσεις Εξαιρετικής Σημασίας» βάσει του ν. 4864/2021, χρηματοδοτούνται συνδυαστικά από το Ταμείο Ανάκαμψης και Ανθεκτικότητας (επιχορηγήσεις) και από τον κρατικό προϋπολογισμό (φοροαπαλλαγές) και για τα οποία εκδίδεται εντός του έτους 2024 η απόφαση χορήγησης κινήτρων και ενισχύσεων του άρθρου 16 του ως άνω νόμου, καθορίζεται στο ποσό των επτά εκατομμυρίων πεντακοσίων χιλιάδων (7.500.000,00 €) ευρώ.</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Ποσό επιχορήγησης</w:t>
      </w:r>
    </w:p>
    <w:p>
      <w:pPr>
        <w:spacing w:before="240" w:after="240"/>
        <w:rPr>
          <w:lang w:val="el" w:eastAsia="el"/>
        </w:rPr>
      </w:pPr>
      <w:r>
        <w:rPr>
          <w:lang w:val="el" w:eastAsia="el"/>
        </w:rPr>
        <w:t>Το συνολικό ποσό της επιχορήγησης για τα επενδυτικά σχέδια που έχουν χαρακτηρισθεί «Εμβληματικές Επενδύσεις Εξαιρετικής Σημασίας» βάσει του ν. 4864/2021, χρηματοδοτούνται συνδυαστικά από το Ταμείο Ανάκαμψης και Ανθεκτικότητας (επιχορηγήσεις) και από τον κρατικό προϋπολογισμό (φοροαπαλλαγές) και για τα οποία εκδίδεται εντός του έτους 2024 η απόφαση χορήγησης κινήτρων και ενισχύσεων του άρθρου 16 του ως άνω νόμου, καθορίζεται στο ποσό των τριάντα εκατομμυρίων εκατό χιλιάδων (30.100.000,00) ευρώ.</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Πηγές Χρηματοδότησης - Επιβάρυνση κρατικού προϋπολογισμού</w:t>
      </w:r>
    </w:p>
    <w:p>
      <w:pPr>
        <w:spacing w:before="240" w:after="240"/>
        <w:rPr>
          <w:lang w:val="el" w:eastAsia="el"/>
        </w:rPr>
      </w:pPr>
      <w:r>
        <w:rPr>
          <w:lang w:val="el" w:eastAsia="el"/>
        </w:rPr>
        <w:t>Από τις διατάξεις της παρούσας απόφασης εκτιμάται ότι:</w:t>
      </w:r>
    </w:p>
    <w:p>
      <w:pPr>
        <w:spacing w:before="240" w:after="240"/>
        <w:rPr>
          <w:lang w:val="el" w:eastAsia="el"/>
        </w:rPr>
      </w:pPr>
      <w:r>
        <w:rPr>
          <w:lang w:val="el" w:eastAsia="el"/>
        </w:rPr>
        <w:t>i. Για το έτος 2024 δεν θα προκύψει δαπάνη εις βάρος του Ταμείου Ανάκαμψης και Ανθεκτικότητας ούτε απώλεια φορολογικών εσόδων.</w:t>
      </w:r>
    </w:p>
    <w:p>
      <w:pPr>
        <w:spacing w:before="240" w:after="240"/>
        <w:rPr>
          <w:lang w:val="el" w:eastAsia="el"/>
        </w:rPr>
      </w:pPr>
      <w:r>
        <w:rPr>
          <w:lang w:val="el" w:eastAsia="el"/>
        </w:rPr>
        <w:t>ii. Για το έτος 2025 θα προκύψει δαπάνη ύψους είκοσι δύο εκατομμυρίων εννιακοσίων χιλιάδων (22.900.000,00 €) ευρώ σε βάρος του Ταμείου Ανάκαμψης και Ανθεκτικότητας και απώλεια φορολογικών εσόδων ύψους ενός εκατομμυρίου πεντακοσίων χιλιάδων (1.500.000,00 €) ευρώ.</w:t>
      </w:r>
    </w:p>
    <w:p>
      <w:pPr>
        <w:spacing w:before="240" w:after="240"/>
        <w:rPr>
          <w:lang w:val="el" w:eastAsia="el"/>
        </w:rPr>
      </w:pPr>
      <w:r>
        <w:rPr>
          <w:lang w:val="el" w:eastAsia="el"/>
        </w:rPr>
        <w:t>iii. Για το έτος 2026 θα προκύψει δαπάνη ύψους επτά εκατομμυρίων διακοσίων χιλιάδων (7.200.000,00 €) ευρώ σε βάρος του Ταμείου Ανάκαμψης και Ανθεκτικότητας και απώλεια φορολογικών εσόδων ύψους ενός εκατομμυρίου πεντακοσίων χιλιάδων (1.500.000,00 €) ευρώ.</w:t>
      </w:r>
    </w:p>
    <w:p>
      <w:pPr>
        <w:spacing w:before="240" w:after="240"/>
        <w:rPr>
          <w:lang w:val="el" w:eastAsia="el"/>
        </w:rPr>
      </w:pPr>
      <w:r>
        <w:rPr>
          <w:lang w:val="el" w:eastAsia="el"/>
        </w:rPr>
        <w:t>iv. Για το έτος 2027 θα προκύψει απώλεια φορολογικών εσόδων ύψους ενός εκατομμυρίου πεντακοσίων χιλιάδων (1.500.000,00 €) ευρώ.</w:t>
      </w:r>
    </w:p>
    <w:p>
      <w:pPr>
        <w:spacing w:before="240" w:after="240"/>
        <w:rPr>
          <w:lang w:val="el" w:eastAsia="el"/>
        </w:rPr>
      </w:pPr>
      <w:r>
        <w:rPr>
          <w:lang w:val="el" w:eastAsia="el"/>
        </w:rPr>
        <w:t>v. Για το έτος 2028 θα απώλεια φορολογικών εσόδων ύψους πεντακοσίων χιλιάδων (500.000,00 €) ευρώ.</w:t>
      </w:r>
    </w:p>
    <w:p>
      <w:pPr>
        <w:spacing w:before="240" w:after="240"/>
        <w:rPr>
          <w:lang w:val="el" w:eastAsia="el"/>
        </w:rPr>
      </w:pPr>
      <w:r>
        <w:rPr>
          <w:lang w:val="el" w:eastAsia="el"/>
        </w:rPr>
        <w:t>vi. Για το έτος 2029 θα προκύψει απώλεια φορολογικών εσόδων ύψους ενός εκατομμυρίου (1.000.000,00 €) ευρώ.</w:t>
      </w:r>
    </w:p>
    <w:p>
      <w:pPr>
        <w:spacing w:before="240" w:after="240"/>
        <w:rPr>
          <w:lang w:val="el" w:eastAsia="el"/>
        </w:rPr>
      </w:pPr>
      <w:r>
        <w:rPr>
          <w:lang w:val="el" w:eastAsia="el"/>
        </w:rPr>
        <w:t>vii. Για το έτος 2030 θα προκύψει απώλεια φορολογικών εσόδων ύψους ενός εκατομμυρίου (1.000.000,00 €) ευρώ.</w:t>
      </w:r>
    </w:p>
    <w:p>
      <w:pPr>
        <w:spacing w:before="240" w:after="240"/>
        <w:rPr>
          <w:lang w:val="el" w:eastAsia="el"/>
        </w:rPr>
      </w:pPr>
      <w:r>
        <w:rPr>
          <w:lang w:val="el" w:eastAsia="el"/>
        </w:rPr>
        <w:t>viii. Για το έτος 2031 θα προκύψει απώλεια φορολογικών εσόδων ύψους πεντακοσίων χιλιάδων (500.000,00 €) ευρώ. Τα ως άνω εκτιμώμενα ποσά συναρτώνται από το βαθμό υλοποίησης των επενδυτικών σχεδίων για τα οποία θα εκδοθεί εντός του τρέχοντος έτους (2024) η απόφαση χορήγησης κινήτρων του άρθρου 16 του ν. 4864/2021. Οι ενισχύσεις που χρηματοδοτούνται από το Ταμείο Ανάκαμψης και Ανθεκτικότητας και καταβάλλονται σε επενδυτικούς φορείς που δεν ολοκληρώνουν τα επενδυτικά τους σχέδια έως 31/12/2025 θεωρούνται αχρεωστήτως καταβληθείσες.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Η ισχύς της παρούσας απόφασης αρχίζει από την ημερομηνία δημοσίευσής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Αθήνα,16 Δεκεμβρίου 2024</w:t>
      </w:r>
    </w:p>
    <w:p>
      <w:pPr>
        <w:spacing w:before="240" w:after="240"/>
        <w:rPr>
          <w:lang w:val="el" w:eastAsia="el"/>
        </w:rPr>
      </w:pPr>
      <w:r>
        <w:rPr>
          <w:lang w:val="el" w:eastAsia="el"/>
        </w:rPr>
        <w:t> </w:t>
      </w:r>
    </w:p>
    <w:p>
      <w:pPr>
        <w:spacing w:before="240" w:after="240"/>
        <w:rPr>
          <w:lang w:val="el" w:eastAsia="el"/>
        </w:rPr>
      </w:pPr>
      <w:r>
        <w:rPr>
          <w:lang w:val="el" w:eastAsia="el"/>
        </w:rPr>
        <w:t xml:space="preserve">Οι Υπουργοί </w:t>
      </w:r>
    </w:p>
    <w:p>
      <w:pPr>
        <w:spacing w:before="240" w:after="240"/>
        <w:rPr>
          <w:lang w:val="el" w:eastAsia="el"/>
        </w:rPr>
      </w:pPr>
      <w:r>
        <w:rPr>
          <w:lang w:val="el" w:eastAsia="el"/>
        </w:rPr>
        <w:t>Αναπληρωτής Υπουργός Εθνικής Οικονομίας και Οικονομικών</w:t>
      </w:r>
    </w:p>
    <w:p>
      <w:pPr>
        <w:spacing w:before="240" w:after="240"/>
        <w:rPr>
          <w:lang w:val="el" w:eastAsia="el"/>
        </w:rPr>
      </w:pPr>
      <w:r>
        <w:rPr>
          <w:lang w:val="el" w:eastAsia="el"/>
        </w:rPr>
        <w:t>ΝΙΚΟΛΑΟΣ ΠΑΠΑΘΑΝΑΣΗΣ</w:t>
      </w:r>
    </w:p>
    <w:p>
      <w:pPr>
        <w:spacing w:before="240" w:after="240"/>
        <w:rPr>
          <w:lang w:val="el" w:eastAsia="el"/>
        </w:rPr>
      </w:pPr>
      <w:r>
        <w:rPr>
          <w:lang w:val="el" w:eastAsia="el"/>
        </w:rPr>
        <w:t>Υφυπουργός Εθνικής Οικονομίας  και Οικονομικών</w:t>
      </w:r>
    </w:p>
    <w:p>
      <w:pPr>
        <w:spacing w:before="240" w:after="240"/>
        <w:rPr>
          <w:lang w:val="el" w:eastAsia="el"/>
        </w:rPr>
      </w:pPr>
      <w:r>
        <w:rPr>
          <w:lang w:val="el" w:eastAsia="el"/>
        </w:rPr>
        <w:t>ΑΘΑΝΑΣΙΟΣ ΠΕΤΡΑΛΙΑΣ</w:t>
      </w:r>
    </w:p>
    <w:p>
      <w:pPr>
        <w:spacing w:before="240" w:after="240"/>
        <w:rPr>
          <w:lang w:val="el" w:eastAsia="el"/>
        </w:rPr>
      </w:pPr>
      <w:r>
        <w:rPr>
          <w:lang w:val="el" w:eastAsia="el"/>
        </w:rPr>
        <w:t>Ανάπτυξης</w:t>
      </w:r>
    </w:p>
    <w:p>
      <w:pPr>
        <w:spacing w:before="240" w:after="240"/>
        <w:rPr>
          <w:lang w:val="el" w:eastAsia="el"/>
        </w:rPr>
      </w:pPr>
      <w:r>
        <w:rPr>
          <w:lang w:val="el" w:eastAsia="el"/>
        </w:rPr>
        <w:t>ΠΑΝΑΓΙΩΤΗΣ ΘΕΟΔΩΡΙΚΑΚΟΣ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A. 19401/2025 12.03.2025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