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98995</w:t>
      </w:r>
    </w:p>
    <w:p>
      <w:pPr>
        <w:pStyle w:val="PreambelText"/>
        <w:spacing w:before="240" w:after="240"/>
        <w:rPr>
          <w:lang w:val="el" w:eastAsia="el"/>
        </w:rPr>
      </w:pPr>
      <w:r>
        <w:rPr>
          <w:b/>
          <w:bCs/>
          <w:lang w:val="el" w:eastAsia="el"/>
        </w:rPr>
        <w:t>Καθορισμός του ποσού των ενισχύσεων για τα επενδυτικά σχέδια που έχουν χαρακτηρισθεί «Εμβληματικές Επενδύσεις Εξαιρετικής Σημασίας», τα οποία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2024, απόφαση χορήγησης κινήτρων και ενισχύσεων σύμφωνα με το άρθρο 16 του ν. 4864/2021.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Τα άρθρα 1 έως 30 του ν. 4864/2021 «Στρατηγικές επενδύσεις και βελτίωση του επενδυτικού περιβάλλοντος μέσω της επιτάχυνσης διαδικασιών στις ιδιωτικές και στρατηγικές επενδύσεις, δημιουργία πλαισίου για τις εταιρείες τεχνοβλαστούς και άλλες επείγουσες διατάξεις για την ανάπτυξη» (Α’ 237) και ιδίως την παρ. 6 του άρθρου 28 και την παρ. 5 του άρθρου 10 αυτού.</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 και ιδίως τα άρθρα 20 και 23 αυτού.</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Α’ 98), όπως διατηρήθηκε σε ισχύ με την περ. 22 του άρθρου 119 του ν. 4622/2019 (Α’ 133).</w:t>
      </w:r>
    </w:p>
    <w:p>
      <w:pPr>
        <w:pStyle w:val="PreambelText"/>
        <w:spacing w:before="240" w:after="240"/>
        <w:rPr>
          <w:lang w:val="el" w:eastAsia="el"/>
        </w:rPr>
      </w:pPr>
      <w:r>
        <w:rPr>
          <w:lang w:val="el" w:eastAsia="el"/>
        </w:rPr>
        <w:t>5. Το π.δ. 5/2022 «Οργανισμός Υπουργείου Ανάπτυξης και Επενδύσεων» (Α’ 15).</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όπως τροποποιήθηκε με το π.δ. 82/2023 (Α’ 139).</w:t>
      </w:r>
    </w:p>
    <w:p>
      <w:pPr>
        <w:pStyle w:val="PreambelText"/>
        <w:spacing w:before="240" w:after="240"/>
        <w:rPr>
          <w:lang w:val="el" w:eastAsia="el"/>
        </w:rPr>
      </w:pPr>
      <w:r>
        <w:rPr>
          <w:lang w:val="el" w:eastAsia="el"/>
        </w:rPr>
        <w:t>8.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9. Το π.δ. 32/2024 «Διορισμός Υπουργών και Υφυπουργών» (Α’ 91).</w:t>
      </w:r>
    </w:p>
    <w:p>
      <w:pPr>
        <w:pStyle w:val="PreambelText"/>
        <w:spacing w:before="240" w:after="240"/>
        <w:rPr>
          <w:lang w:val="el" w:eastAsia="el"/>
        </w:rPr>
      </w:pPr>
      <w:r>
        <w:rPr>
          <w:lang w:val="el" w:eastAsia="el"/>
        </w:rPr>
        <w:t>10. Την υπό στοιχεία Υ12/07.07.2023 απόφαση του Πρωθυπουργού «Ανάθεση αρμοδιοτήτων στον Αναπληρωτή Υπουργό Οικονομικών, Νικόλαο Παπαθανάση» (Β’ 4403).</w:t>
      </w:r>
    </w:p>
    <w:p>
      <w:pPr>
        <w:pStyle w:val="PreambelText"/>
        <w:spacing w:before="240" w:after="240"/>
        <w:rPr>
          <w:lang w:val="el" w:eastAsia="el"/>
        </w:rPr>
      </w:pPr>
      <w:r>
        <w:rPr>
          <w:lang w:val="el" w:eastAsia="el"/>
        </w:rPr>
        <w:t>11.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12. Την υπό στοιχεία 32787ΕΞ2022/11.3.2022 απόφαση του Αναπληρωτή Υπουργού Οικονομικών για την ένταξη του έργου με τίτλο «Subproject 1: Εμβληματικές Επενδύσεις Εξαιρετικής Σημασίας» (κωδικός ΟΠΣ ΤΑ 5165175) στο Ταμείο Ανάκαμψης και Ανθεκτικότητας (ΑΔΑ: 62Δ9Η-0ΗΤ) και την υπ’ αρ. 59070/7.6.2022 απόφαση του Υφυπουργού Ανάπτυξης και Επενδύσεων για την ένταξη του έργου στο ΠΔΕ 2022 με κωδικό έργου 2022ΤΑ01900003 (ΑΔΑ: 6Θ9Λ46ΜΤΛΡ-0Ι4).</w:t>
      </w:r>
    </w:p>
    <w:p>
      <w:pPr>
        <w:pStyle w:val="PreambelText"/>
        <w:spacing w:before="240" w:after="240"/>
        <w:rPr>
          <w:lang w:val="el" w:eastAsia="el"/>
        </w:rPr>
      </w:pPr>
      <w:r>
        <w:rPr>
          <w:lang w:val="el" w:eastAsia="el"/>
        </w:rPr>
        <w:t>13. Τον Γενικό Απαλλακτικό Κανονισμό 651/2014 της Ευρωπαϊκής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(EE L 187 της 26.06.2014, σ. 1-178), όπως τροποποιήθηκε με τον κανονισμό 2023/1315 της Επιτροπής της 23ης Ιουνίου 2023.</w:t>
      </w:r>
    </w:p>
    <w:p>
      <w:pPr>
        <w:pStyle w:val="PreambelText"/>
        <w:spacing w:before="240" w:after="240"/>
        <w:rPr>
          <w:lang w:val="el" w:eastAsia="el"/>
        </w:rPr>
      </w:pPr>
      <w:r>
        <w:rPr>
          <w:lang w:val="el" w:eastAsia="el"/>
        </w:rPr>
        <w:t>14. Την υπ’ αρ. 90167/20.11.2024 εισήγηση της Γενικής Διεύθυνσης Οικονομικών Υπηρεσιών του Υπουργείου Ανάπτυξης, όπως προβλέπεται στην περ. ε της παρ. 5 του άρθρου 24 του ν. 4270/2014.</w:t>
      </w:r>
    </w:p>
    <w:p>
      <w:pPr>
        <w:pStyle w:val="PreambelText"/>
        <w:spacing w:before="240" w:after="240"/>
        <w:rPr>
          <w:lang w:val="el" w:eastAsia="el"/>
        </w:rPr>
      </w:pPr>
      <w:r>
        <w:rPr>
          <w:lang w:val="el" w:eastAsia="el"/>
        </w:rPr>
        <w:t>15. Το γεγονός ότι από τις διατάξεις της παρούσας απόφασης προκαλείται επιβάρυνση του Ταμείου Ανάπτυξης και Ανθεκτικότητας και του κρατικού προϋπολογισμού, το ύψος της οποίας αναλύεται στο άρθρο 3 της παρούσας. Η προκαλούμενη δαπάνη θα αντιμετωπισθεί στο πλαίσιο των υφιστάμενων ορίων του Μεσοπρόθεσμου Πλαισίου Δημοσιονομικής Στρατηγικής,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Ποσό φορολογικής απαλλαγής</w:t>
      </w:r>
    </w:p>
    <w:p>
      <w:pPr>
        <w:spacing w:before="240" w:after="240"/>
        <w:rPr>
          <w:lang w:val="el" w:eastAsia="el"/>
        </w:rPr>
      </w:pPr>
      <w:r>
        <w:rPr>
          <w:lang w:val="el" w:eastAsia="el"/>
        </w:rPr>
        <w:t>Το συνολικό ποσό της φορολογικής απαλλαγής για τα επενδυτικά σχέδια που έχουν χαρακτηρισθεί «Εμβληματικές Επενδύσεις Εξαιρετικής Σημασίας» βάσει του ν. 4864/2021,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έτους 2024 η απόφαση χορήγησης κινήτρων και ενισχύσεων του άρθρου 16 του ως άνω νόμου, καθορίζεται στο ποσό των επτά εκατομμυρίων πεντακοσίων χιλιάδων (7.500.000,00 €)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Ποσό επιχορήγησης</w:t>
      </w:r>
    </w:p>
    <w:p>
      <w:pPr>
        <w:spacing w:before="240" w:after="240"/>
        <w:rPr>
          <w:lang w:val="el" w:eastAsia="el"/>
        </w:rPr>
      </w:pPr>
      <w:r>
        <w:rPr>
          <w:lang w:val="el" w:eastAsia="el"/>
        </w:rPr>
        <w:t>Το συνολικό ποσό της επιχορήγησης για τα επενδυτικά σχέδια που έχουν χαρακτηρισθεί «Εμβληματικές Επενδύσεις Εξαιρετικής Σημασίας» βάσει του ν. 4864/2021, χρηματοδοτούνται συνδυαστικά από το Ταμείο Ανάκαμψης και Ανθεκτικότητας (επιχορηγήσεις) και από τον κρατικό προϋπολογισμό (φοροαπαλλαγές) και για τα οποία εκδίδεται εντός του έτους 2024 η απόφαση χορήγησης κινήτρων και ενισχύσεων του άρθρου 16 του ως άνω νόμου, καθορίζεται στο ποσό των τριάντα εκατομμυρίων εκατό χιλιάδων (30.100.000,00) ευρώ.</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Πηγές Χρηματοδότησης -</w:t>
      </w:r>
    </w:p>
    <w:p>
      <w:pPr>
        <w:spacing w:before="240" w:after="240"/>
        <w:rPr>
          <w:lang w:val="el" w:eastAsia="el"/>
        </w:rPr>
      </w:pPr>
      <w:r>
        <w:rPr>
          <w:lang w:val="el" w:eastAsia="el"/>
        </w:rPr>
        <w:t>Επιβάρυνση κρατικού προϋπολογισμού</w:t>
      </w:r>
    </w:p>
    <w:p>
      <w:pPr>
        <w:spacing w:before="240" w:after="240"/>
        <w:rPr>
          <w:lang w:val="el" w:eastAsia="el"/>
        </w:rPr>
      </w:pPr>
      <w:r>
        <w:rPr>
          <w:lang w:val="el" w:eastAsia="el"/>
        </w:rPr>
        <w:t>Από τις διατάξεις της παρούσας απόφασης εκτιμάται ότι: i. Για το έτος 2024 δεν θα προκύψει δαπάνη εις βάρος του Ταμείου Ανάκαμψης και Ανθεκτικότητας ούτε απώλεια φορολογικών εσόδων.</w:t>
      </w:r>
    </w:p>
    <w:p>
      <w:pPr>
        <w:spacing w:before="240" w:after="240"/>
        <w:rPr>
          <w:lang w:val="el" w:eastAsia="el"/>
        </w:rPr>
      </w:pPr>
      <w:r>
        <w:rPr>
          <w:lang w:val="el" w:eastAsia="el"/>
        </w:rPr>
        <w:t>ii. Για το έτος 2025 θα προκύψει δαπάνη ύψους είκοσι δύο εκατομμυρίων εννιακοσίων χιλιάδων (22.900.000,00 €) ευρώ σε βάρος του Ταμείου Ανάκαμψης και Ανθεκτικότητας και απώλεια φορολογικών εσόδων ύψους ενός εκατομμυρίου πεντακοσίων χιλιάδων (1.500.000,00 €) ευρώ. iii. Για το έτος 2026 θα προκύψει δαπάνη ύψους επτά εκατομμυρίων διακοσίων χιλιάδων (7.200.000,00 €) ευρώ σε βάρος του Ταμείου Ανάκαμψης και Ανθεκτικότητας και απώλεια φορολογικών εσόδων ύψους ενός εκατομμυρίου πεντακοσίων χιλιάδων (1.500.000,00 €) ευρώ.</w:t>
      </w:r>
    </w:p>
    <w:p>
      <w:pPr>
        <w:spacing w:before="240" w:after="240"/>
        <w:rPr>
          <w:lang w:val="el" w:eastAsia="el"/>
        </w:rPr>
      </w:pPr>
      <w:r>
        <w:rPr>
          <w:lang w:val="el" w:eastAsia="el"/>
        </w:rPr>
        <w:t>iv. Για το έτος 2027 θα προκύψει απώλεια φορολογικών εσόδων ύψους ενός εκατομμυρίου πεντακοσίων χιλιάδων (1.500.000,00 €) ευρώ.</w:t>
      </w:r>
    </w:p>
    <w:p>
      <w:pPr>
        <w:spacing w:before="240" w:after="240"/>
        <w:rPr>
          <w:lang w:val="el" w:eastAsia="el"/>
        </w:rPr>
      </w:pPr>
      <w:r>
        <w:rPr>
          <w:lang w:val="el" w:eastAsia="el"/>
        </w:rPr>
        <w:t>v. Για το έτος 2028 θα απώλεια φορολογικών εσόδων ύψους πεντακοσίων χιλιάδων (500.000,00 €) ευρώ.</w:t>
      </w:r>
    </w:p>
    <w:p>
      <w:pPr>
        <w:spacing w:before="240" w:after="240"/>
        <w:rPr>
          <w:lang w:val="el" w:eastAsia="el"/>
        </w:rPr>
      </w:pPr>
      <w:r>
        <w:rPr>
          <w:lang w:val="el" w:eastAsia="el"/>
        </w:rPr>
        <w:t>vi. Για το έτος 2029 θα προκύψει απώλεια φορολογικών εσόδων ύψους ενός εκατομμυρίου (1.000.000,00 €) ευρώ. vii. Για το έτος 2030 θα προκύψει απώλεια φορολογικών εσόδων ύψους ενός εκατομμυρίου (1.000.000,00 €) ευρώ. viii. Για το έτος 2031 θα προκύψει απώλεια φορολογικών εσόδων ύψους πεντακοσίων χιλιάδων (500.000,00 €) ευρώ.</w:t>
      </w:r>
    </w:p>
    <w:p>
      <w:pPr>
        <w:spacing w:before="240" w:after="240"/>
        <w:rPr>
          <w:lang w:val="el" w:eastAsia="el"/>
        </w:rPr>
      </w:pPr>
      <w:r>
        <w:rPr>
          <w:lang w:val="el" w:eastAsia="el"/>
        </w:rPr>
        <w:t>Τα ως άνω εκτιμώμενα ποσά συναρτώνται από το βαθμό υλοποίησης των επενδυτικών σχεδίων για τα οποία θα εκδοθεί εντός του τρέχοντος έτους (2024) η απόφαση χορήγησης κινήτρων του άρθρου 16 του ν. 4864/2021.</w:t>
      </w:r>
    </w:p>
    <w:p>
      <w:pPr>
        <w:spacing w:before="240" w:after="240"/>
        <w:rPr>
          <w:lang w:val="el" w:eastAsia="el"/>
        </w:rPr>
      </w:pPr>
      <w:r>
        <w:rPr>
          <w:lang w:val="el" w:eastAsia="el"/>
        </w:rPr>
        <w:t>Οι ενισχύσεις που χρηματοδοτούνται από το Ταμείο Ανάκαμψης και Ανθεκτικότητας και καταβάλλονται σε επενδυτικούς φορείς που δεν ολοκληρώνουν τα επενδυτικά τους σχέδια έως 31/12/2025 θεωρούνται αχρεωστήτως καταβληθείσες.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της παρούσας απόφασης αρχίζει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Αθήνα,16 Δεκεμβρίου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Εθνικής Οικονομίας Εθνικής Οικονομίας και Οικονομικών και Οικονομικών</w:t>
      </w:r>
    </w:p>
    <w:p>
      <w:pPr>
        <w:spacing w:before="240" w:after="240"/>
        <w:rPr>
          <w:lang w:val="el" w:eastAsia="el"/>
        </w:rPr>
      </w:pPr>
      <w:r>
        <w:rPr>
          <w:b/>
          <w:bCs/>
          <w:lang w:val="el" w:eastAsia="el"/>
        </w:rPr>
        <w:t>ΝΙΚΟΛΑΟΣ ΠΑΠΑΘΑΝΑΣΗΣ ΑΘΑΝΑΣΙΟΣ ΠΕΤΡΑΛΙΑΣ</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ΠΑΝΑΓΙΩΤΗΣ ΘΕΟΔΩΡΙΚΑΚΟΣ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