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3873/5/19.12.2</w:t>
      </w:r>
      <w:r>
        <w:rPr>
          <w:lang w:val="el" w:eastAsia="el"/>
        </w:rPr>
        <w:t>024 (2)</w:t>
      </w:r>
    </w:p>
    <w:p>
      <w:pPr>
        <w:spacing w:before="240" w:after="240"/>
        <w:rPr>
          <w:lang w:val="el" w:eastAsia="el"/>
        </w:rPr>
      </w:pPr>
      <w:r>
        <w:rPr>
          <w:b/>
          <w:bCs/>
          <w:lang w:val="el" w:eastAsia="el"/>
        </w:rPr>
        <w:t>Ηλεκτρονική σύσταση δύο (2) κατηγοριών παρακαταθηκών - Έκδοση πρώτης κανονιστικής πράξης του Δ.Σ. του Τ.Π. και Δανείων κατ’ εξουσιοδότηση του άρθρου 61 του ν. 4915/2022.</w:t>
      </w:r>
    </w:p>
    <w:p>
      <w:pPr>
        <w:spacing w:before="240" w:after="240"/>
        <w:rPr>
          <w:lang w:val="el" w:eastAsia="el"/>
        </w:rPr>
      </w:pPr>
      <w:r>
        <w:rPr>
          <w:lang w:val="el" w:eastAsia="el"/>
        </w:rPr>
        <w:t>ΤΟ ΔΙΟΙΚΗΤΙΚΟ ΣΥΜΒΟΥΛΙΟ ΤΟΥ ΤΑΜΕΙΟΥ ΠΑΡΑΚΑΤΑΘΗΚΩΝ ΚΑΙ ΔΑΝΕΙΩΝ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95/1996 «Οργανισμός του Ταμείου Παρακαταθηκών και Δανείων» (Α’ 76), σε συνδυασμό με α) τα άρθρα 1 - 4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 και β) τον Κανονισμό Λειτουργίας του Ταμείου που εκδόθηκε κατ’ εφαρμογή του άρθρου 4 του ν. 3965/2011 (υπ’ αρ. 2/23510/0094/30-03-2012 (Β’ 1083) απόφαση Υπουργού Οικονομικών).</w:t>
      </w:r>
    </w:p>
    <w:p>
      <w:pPr>
        <w:spacing w:before="240" w:after="240"/>
        <w:rPr>
          <w:lang w:val="el" w:eastAsia="el"/>
        </w:rPr>
      </w:pPr>
      <w:r>
        <w:rPr>
          <w:lang w:val="el" w:eastAsia="el"/>
        </w:rPr>
        <w:t>2. Το π.δ. από 30/12/1926 - 03/01/1927 «Περί συστάσεως και αποδόσεως παρακαταθηκών και καταθέσεων παρά τω Ταμείω Παρακαταθηκών και Δανείων» (Α’ 1).</w:t>
      </w:r>
    </w:p>
    <w:p>
      <w:pPr>
        <w:spacing w:before="240" w:after="240"/>
        <w:rPr>
          <w:lang w:val="el" w:eastAsia="el"/>
        </w:rPr>
      </w:pPr>
      <w:r>
        <w:rPr>
          <w:lang w:val="el" w:eastAsia="el"/>
        </w:rPr>
        <w:t>3. Τον ν. 3646/1928 «Περί κυρώσεως: α) του ν.δ. της 12 Νοεμβρίου 1927 «περί κυρώσεως και τροποποιήσεως του από 21 Μαρτίου 1926 ν.δ. περί οργανισμού του Ταμείου Παρακαταθηκών και Δανείων» και β) του ν.δ. της 12 Νοεμβρίου 1927 «περί κυρώσεως του από 29 Σεπτεμβρίου 1926 ν.δ. περί τροποποιήσεως του από 23 Απριλίου 1926 ν.δ. περί οργανισμού του Ταμείου Παρακαταθηκών και Δανείων» (Α’ 154).</w:t>
      </w:r>
    </w:p>
    <w:p>
      <w:pPr>
        <w:spacing w:before="240" w:after="240"/>
        <w:rPr>
          <w:lang w:val="el" w:eastAsia="el"/>
        </w:rPr>
      </w:pPr>
      <w:r>
        <w:rPr>
          <w:lang w:val="el" w:eastAsia="el"/>
        </w:rPr>
        <w:t>4. Τα άρθρα 427 - 435 σε συνδυασμό με τα άρθρα 410 - 414 και 822 - 830 του Αστικού Κώδικα.</w:t>
      </w:r>
    </w:p>
    <w:p>
      <w:pPr>
        <w:spacing w:before="240" w:after="240"/>
        <w:rPr>
          <w:lang w:val="el" w:eastAsia="el"/>
        </w:rPr>
      </w:pPr>
      <w:r>
        <w:rPr>
          <w:lang w:val="el" w:eastAsia="el"/>
        </w:rPr>
        <w:t>5. Το άρθρο 61 παρ. 1 του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 όπως τροποποιήθηκε με το άρθρο 104 του ν. 5104/2024 «Κώδικας Φορολογικής Διαδικασίας και άλλες διατάξεις» (Α’ 58).</w:t>
      </w:r>
    </w:p>
    <w:p>
      <w:pPr>
        <w:spacing w:before="240" w:after="240"/>
        <w:rPr>
          <w:lang w:val="el" w:eastAsia="el"/>
        </w:rPr>
      </w:pPr>
      <w:r>
        <w:rPr>
          <w:lang w:val="el" w:eastAsia="el"/>
        </w:rPr>
        <w:t>6. Την υπ’ αρ. 17939/17-12-2024 γραπτή εισήγηση της Υπηρεσίας, σε συνδυασμό με το γεγονός ότι η παρούσα απόφαση δεν συνεπάγεται δαπάνη σε βάρος του προϋπολογισμού του Ταμείου Παρακαταθηκών και Δανείων, αποφασίζει ομόφωνα:</w:t>
      </w:r>
    </w:p>
    <w:p>
      <w:pPr>
        <w:spacing w:before="240" w:after="240"/>
        <w:rPr>
          <w:lang w:val="el" w:eastAsia="el"/>
        </w:rPr>
      </w:pPr>
      <w:r>
        <w:rPr>
          <w:lang w:val="el" w:eastAsia="el"/>
        </w:rPr>
        <w:t>Την έκδοση της παρούσας πρώτης κανονιστικής πράξης κατ’ εξουσιοδότηση του άρθρου 61 του ν. 4915/2022 (Α’ 63), σύμφωνα με την οποία, κατά την πρώτη φάση, η σύσταση παρακαταθήκης ηλεκτρονικά θα εφαρμοστεί, κατά προτεραιότητα, στην Κ.Υ. και στη συνέχεια, στα Καταστήματα του Ταμείου, ως ακολούθως:</w:t>
      </w:r>
    </w:p>
    <w:p>
      <w:pPr>
        <w:spacing w:before="240" w:after="240"/>
        <w:rPr>
          <w:lang w:val="el" w:eastAsia="el"/>
        </w:rPr>
      </w:pPr>
      <w:r>
        <w:rPr>
          <w:lang w:val="el" w:eastAsia="el"/>
        </w:rPr>
        <w:t>I. ΚΑΤΗΓΟΡΙΕΣ ΧΡΗΜΑΤΙΚΩΝ ΠΑΡΑΚΑΤΑΘΗΚΩΝ ΓΙΑ ΤΙΣ ΟΠΟΙΕΣ ΘΑ ΠΑΡΕΧΕΤΑΙ Η ΕΥΧΕΡΕΙΑ ΗΛΕΚΤΡΟΝΙΚΗΣ ΣΥΣΤΑΣΗΣ</w:t>
      </w:r>
    </w:p>
    <w:p>
      <w:pPr>
        <w:spacing w:before="240" w:after="240"/>
        <w:rPr>
          <w:lang w:val="el" w:eastAsia="el"/>
        </w:rPr>
      </w:pPr>
      <w:r>
        <w:rPr>
          <w:lang w:val="el" w:eastAsia="el"/>
        </w:rPr>
        <w:t>Ο νέος θεσμός, σε πρώτη φάση, θα περιλαμβάνει δύο συνήθεις κατηγορίες παρακαταθηκών:</w:t>
      </w:r>
    </w:p>
    <w:p>
      <w:pPr>
        <w:pStyle w:val="StructureList1"/>
        <w:spacing w:before="120" w:after="0"/>
        <w:rPr>
          <w:lang w:val="el" w:eastAsia="el"/>
        </w:rPr>
      </w:pPr>
      <w:r>
        <w:rPr>
          <w:lang w:val="el" w:eastAsia="el"/>
        </w:rPr>
        <w:t>α)</w:t>
      </w:r>
      <w:r>
        <w:rPr>
          <w:lang w:val="en" w:eastAsia="en"/>
        </w:rPr>
        <w:tab/>
      </w:r>
      <w:r>
        <w:rPr>
          <w:lang w:val="el" w:eastAsia="el"/>
        </w:rPr>
        <w:t>Όλες τις εγγυοδοτικές παρακαταθήκες, πλην αυτών που καταλαμβάνονται από τις διατάξεις του ποινικού δικαίου (δηλ. διατάσσονται αρμοδίως από την Δικαστική Αρχή, ως περιοριστικοί όροι κατά κατηγορουμένων φυσικών προσώπων) ή που κατατείνουν στην αναστολή εκτέλεσης δικαστικών αποφάσεων πολιτικών δικαστηρίων.</w:t>
      </w:r>
    </w:p>
    <w:p>
      <w:pPr>
        <w:pStyle w:val="StructureList1"/>
        <w:spacing w:before="120" w:after="0"/>
        <w:rPr>
          <w:lang w:val="el" w:eastAsia="el"/>
        </w:rPr>
      </w:pPr>
      <w:r>
        <w:rPr>
          <w:lang w:val="el" w:eastAsia="el"/>
        </w:rPr>
        <w:t>β)</w:t>
      </w:r>
      <w:r>
        <w:rPr>
          <w:lang w:val="en" w:eastAsia="en"/>
        </w:rPr>
        <w:tab/>
      </w:r>
      <w:r>
        <w:rPr>
          <w:lang w:val="el" w:eastAsia="el"/>
        </w:rPr>
        <w:t>Τα πάσης φύσεως πλειστηριάσματα που καταθέτουν δημόσια, αποκλειστικά στο Τ.Π.και Δ., οι συμβολαιογράφοι, βάσει της κείμενης νομοθεσίας.</w:t>
      </w:r>
    </w:p>
    <w:p>
      <w:pPr>
        <w:spacing w:before="240" w:after="240"/>
        <w:rPr>
          <w:lang w:val="el" w:eastAsia="el"/>
        </w:rPr>
      </w:pPr>
      <w:r>
        <w:rPr>
          <w:lang w:val="el" w:eastAsia="el"/>
        </w:rPr>
        <w:t>II. ΕΝΔΕΙΚΤΙΚΟ ΣΧΕΔΙΟ ΔΙΑΔΙΚΑΣΙΑΣ ΚΑΙ ΤΕΧΝΙΚΩΝ ΛΕΠΤΟΜΕΡΕΙΩΝ ΓΙΑ ΤΗ ΣΥΣΤΑΣΗ ΧΡΗΜΑΤΙΚΩΝ ΠΑΡΑΚΑΤΑΘΗΚΩΝ ΗΛΕΚΤΡΟΝΙΚΑ</w:t>
      </w:r>
    </w:p>
    <w:p>
      <w:pPr>
        <w:spacing w:before="240" w:after="240"/>
        <w:rPr>
          <w:lang w:val="el" w:eastAsia="el"/>
        </w:rPr>
      </w:pPr>
      <w:r>
        <w:rPr>
          <w:lang w:val="el" w:eastAsia="el"/>
        </w:rPr>
        <w:t>Η διαδικασία εφαρμογής της σύστασης ηλεκτρονικής παρακαταθήκης και οι σχετικές τεχνικές λεπτομέρειες αποτυπώνονται αναλυτικά στο κατωτέρω διάγραμμα ροής:</w:t>
      </w:r>
    </w:p>
    <w:p>
      <w:pPr>
        <w:spacing w:before="240" w:after="240"/>
        <w:rPr>
          <w:lang w:val="el" w:eastAsia="el"/>
        </w:rPr>
      </w:pPr>
      <w:r>
        <w:rPr>
          <w:lang w:val="el" w:eastAsia="el"/>
        </w:rPr>
        <w:t>1. Ο αιτών τη σύσταση κάνει login (εξωτερικό σύστημα) με κωδικούς TAXIS. O υπάλληλος κάνει login (εσωτερικό σύστημα) με κωδικούς Δ.Δ.</w:t>
      </w:r>
    </w:p>
    <w:p>
      <w:pPr>
        <w:spacing w:before="240" w:after="240"/>
        <w:rPr>
          <w:lang w:val="el" w:eastAsia="el"/>
        </w:rPr>
      </w:pPr>
      <w:r>
        <w:rPr>
          <w:lang w:val="el" w:eastAsia="el"/>
        </w:rPr>
        <w:t>2. Ο αιτών τη σύσταση επιλέγει το είδος της παρακαταθήκης και το Κατάστημα υποβολής.</w:t>
      </w:r>
    </w:p>
    <w:p>
      <w:pPr>
        <w:spacing w:before="240" w:after="240"/>
        <w:rPr>
          <w:lang w:val="el" w:eastAsia="el"/>
        </w:rPr>
      </w:pPr>
      <w:r>
        <w:rPr>
          <w:lang w:val="el" w:eastAsia="el"/>
        </w:rPr>
        <w:t>3. Ο αιτών τη σύσταση συμπληρώνει τα απαιτούμενα πεδία για την παρακαταθήκη, επισυνάπτει τα απαιτούμενα αρχεία/έγγραφα και υποβάλλει το αίτημα.</w:t>
      </w:r>
    </w:p>
    <w:p>
      <w:pPr>
        <w:spacing w:before="240" w:after="240"/>
        <w:rPr>
          <w:lang w:val="el" w:eastAsia="el"/>
        </w:rPr>
      </w:pPr>
      <w:r>
        <w:rPr>
          <w:lang w:val="el" w:eastAsia="el"/>
        </w:rPr>
        <w:t>4. Ο υπάλληλος βλέπει το αίτημα, το ανοίγει και ελέγχει τα πεδία και τα συνημμένα.</w:t>
      </w:r>
    </w:p>
    <w:p>
      <w:pPr>
        <w:spacing w:before="240" w:after="240"/>
        <w:rPr>
          <w:lang w:val="el" w:eastAsia="el"/>
        </w:rPr>
      </w:pPr>
      <w:r>
        <w:rPr>
          <w:lang w:val="el" w:eastAsia="el"/>
        </w:rPr>
        <w:t>5. Ο υπάλληλος, αν δεν συμφωνεί, σχολιάζει και επιστρέφει το αίτημα στον αιτούντα τη σύσταση (βήμα 3).</w:t>
      </w:r>
    </w:p>
    <w:p>
      <w:pPr>
        <w:spacing w:before="240" w:after="240"/>
        <w:rPr>
          <w:lang w:val="el" w:eastAsia="el"/>
        </w:rPr>
      </w:pPr>
      <w:r>
        <w:rPr>
          <w:lang w:val="el" w:eastAsia="el"/>
        </w:rPr>
        <w:t>6. Ο υπάλληλος, αν συμφωνεί, προωθεί το αίτημα στον προϊστάμενο.</w:t>
      </w:r>
    </w:p>
    <w:p>
      <w:pPr>
        <w:spacing w:before="240" w:after="240"/>
        <w:rPr>
          <w:lang w:val="el" w:eastAsia="el"/>
        </w:rPr>
      </w:pPr>
      <w:r>
        <w:rPr>
          <w:lang w:val="el" w:eastAsia="el"/>
        </w:rPr>
        <w:t>7. Ο προϊστάμενος βλέπει και ελέγχει το αίτημα.</w:t>
      </w:r>
    </w:p>
    <w:p>
      <w:pPr>
        <w:spacing w:before="240" w:after="240"/>
        <w:rPr>
          <w:lang w:val="el" w:eastAsia="el"/>
        </w:rPr>
      </w:pPr>
      <w:r>
        <w:rPr>
          <w:lang w:val="el" w:eastAsia="el"/>
        </w:rPr>
        <w:t>8. Ο προϊστάμενος, αν δεν συμφωνεί, σχολιάζει και επιστρέφει το αίτημα στον υπάλληλο (βήμα 5).</w:t>
      </w:r>
    </w:p>
    <w:p>
      <w:pPr>
        <w:spacing w:before="240" w:after="240"/>
        <w:rPr>
          <w:lang w:val="el" w:eastAsia="el"/>
        </w:rPr>
      </w:pPr>
      <w:r>
        <w:rPr>
          <w:lang w:val="el" w:eastAsia="el"/>
        </w:rPr>
        <w:t>9. Ο προϊστάμενος, αν συμφωνεί, με ενέργεια του (click) δημιουργεί το Δελτίο σύστασης και το Δελτίο αναρτάται για υπογραφή από τον αιτούντα. Μετά το σημείο αυτό, καμία αλλαγή και από κανέναν δεν επιτρέπεται στα πεδία και συνημμένα της Αίτησης/Δελτίου σύστασης.</w:t>
      </w:r>
    </w:p>
    <w:p>
      <w:pPr>
        <w:spacing w:before="240" w:after="240"/>
        <w:rPr>
          <w:lang w:val="el" w:eastAsia="el"/>
        </w:rPr>
      </w:pPr>
      <w:r>
        <w:rPr>
          <w:lang w:val="el" w:eastAsia="el"/>
        </w:rPr>
        <w:t>10. Ο αιτών τη σύσταση «υπογράφει» το δελτίο (εξωσυστημικά) και το αναρτά υπογεγραμμένο. Η ψηφιακή βεβαίωση του εγγράφου που εκδίδεται μέσω gov.gr επέχει θέση νόμιμης υπογραφής του Δελτίου.</w:t>
      </w:r>
    </w:p>
    <w:p>
      <w:pPr>
        <w:spacing w:before="240" w:after="240"/>
        <w:rPr>
          <w:lang w:val="el" w:eastAsia="el"/>
        </w:rPr>
      </w:pPr>
      <w:r>
        <w:rPr>
          <w:lang w:val="el" w:eastAsia="el"/>
        </w:rPr>
        <w:t>11. Ο υπάλληλος ελέγχει το υπογεγραμμένο Δελτίο.</w:t>
      </w:r>
    </w:p>
    <w:p>
      <w:pPr>
        <w:spacing w:before="240" w:after="240"/>
        <w:rPr>
          <w:lang w:val="el" w:eastAsia="el"/>
        </w:rPr>
      </w:pPr>
      <w:r>
        <w:rPr>
          <w:lang w:val="el" w:eastAsia="el"/>
        </w:rPr>
        <w:t>12. Ο υπάλληλος: α) αν διαπιστώσει πρόβλημα με την υπογραφή του αιτούντα στο Δελτίο, ακυρώνει συνολικά τη διαδικασία (final step abort) και β)</w:t>
      </w:r>
    </w:p>
    <w:p>
      <w:pPr>
        <w:pStyle w:val="StructureList1"/>
        <w:spacing w:before="120" w:after="0"/>
        <w:rPr>
          <w:lang w:val="el" w:eastAsia="el"/>
        </w:rPr>
      </w:pPr>
      <w:r>
        <w:rPr>
          <w:lang w:val="el" w:eastAsia="el"/>
        </w:rPr>
        <w:t>β)</w:t>
      </w:r>
      <w:r>
        <w:rPr>
          <w:lang w:val="en" w:eastAsia="en"/>
        </w:rPr>
        <w:tab/>
      </w:r>
      <w:r>
        <w:rPr>
          <w:lang w:val="el" w:eastAsia="el"/>
        </w:rPr>
        <w:t>αν δεν διαπιστώσει πρόβλημα, οριστικοποιεί το Δελτίο.</w:t>
      </w:r>
    </w:p>
    <w:p>
      <w:pPr>
        <w:spacing w:before="240" w:after="240"/>
        <w:rPr>
          <w:lang w:val="el" w:eastAsia="el"/>
        </w:rPr>
      </w:pPr>
      <w:r>
        <w:rPr>
          <w:lang w:val="el" w:eastAsia="el"/>
        </w:rPr>
        <w:t>13. Ο αιτών τη σύσταση, έχοντας οριστικοποιημένο Δελτίο, επιλέγει τον τρόπο πληρωμής, με κωδικό πληρωμής RF (ασύγχρονη πληρωμή) ή με χρεωστική κάρτα (σύγχρονη πληρωμή) ή με Έμβασμα - Διατραπεζική Μεταφορά Κεφαλαίων - DCT, όταν ολοκληρωθούν οι απαραίτητες τεχνικές προσαρμογές:</w:t>
      </w:r>
    </w:p>
    <w:p>
      <w:pPr>
        <w:pStyle w:val="StructureList1"/>
        <w:spacing w:before="120" w:after="0"/>
        <w:rPr>
          <w:lang w:val="el" w:eastAsia="el"/>
        </w:rPr>
      </w:pPr>
      <w:r>
        <w:rPr>
          <w:lang w:val="el" w:eastAsia="el"/>
        </w:rPr>
        <w:t>α)</w:t>
      </w:r>
      <w:r>
        <w:rPr>
          <w:lang w:val="en" w:eastAsia="en"/>
        </w:rPr>
        <w:tab/>
      </w:r>
      <w:r>
        <w:rPr>
          <w:lang w:val="el" w:eastAsia="el"/>
        </w:rPr>
        <w:t>Αν επιλεγεί κάρτα, τότε διενεργείται η πληρωμή (μέσω του συστήματος της συμβαλλόμενης με το Τ.Π.και Δ. Τράπεζας) και καταχωρίζεται η πληρωμή στο εκκρεμές Δελτίο σύστασης και (βήμα 15).</w:t>
      </w:r>
    </w:p>
    <w:p>
      <w:pPr>
        <w:pStyle w:val="StructureList1"/>
        <w:spacing w:before="120" w:after="0"/>
        <w:rPr>
          <w:lang w:val="el" w:eastAsia="el"/>
        </w:rPr>
      </w:pPr>
      <w:r>
        <w:rPr>
          <w:lang w:val="el" w:eastAsia="el"/>
        </w:rPr>
        <w:t>β)</w:t>
      </w:r>
      <w:r>
        <w:rPr>
          <w:lang w:val="en" w:eastAsia="en"/>
        </w:rPr>
        <w:tab/>
      </w:r>
      <w:r>
        <w:rPr>
          <w:lang w:val="el" w:eastAsia="el"/>
        </w:rPr>
        <w:t>Αν επιλεγεί κωδικός RF, τότε δίνεται στον αιτούντα ένας μοναδικός για κάθε παρακαταθήκη κωδικός.</w:t>
      </w:r>
    </w:p>
    <w:p>
      <w:pPr>
        <w:pStyle w:val="StructureList1"/>
        <w:spacing w:before="120" w:after="0"/>
        <w:rPr>
          <w:lang w:val="el" w:eastAsia="el"/>
        </w:rPr>
      </w:pPr>
      <w:r>
        <w:rPr>
          <w:lang w:val="el" w:eastAsia="el"/>
        </w:rPr>
        <w:t>γ)</w:t>
      </w:r>
      <w:r>
        <w:rPr>
          <w:lang w:val="en" w:eastAsia="en"/>
        </w:rPr>
        <w:tab/>
      </w:r>
      <w:r>
        <w:rPr>
          <w:lang w:val="el" w:eastAsia="el"/>
        </w:rPr>
        <w:t>Για τον τρόπο εφαρμογής της πληρωμής με έμβασμα, θα εκδοθεί σχετική εγκύκλιος</w:t>
      </w:r>
    </w:p>
    <w:p>
      <w:pPr>
        <w:spacing w:before="240" w:after="240"/>
        <w:rPr>
          <w:lang w:val="el" w:eastAsia="el"/>
        </w:rPr>
      </w:pPr>
      <w:r>
        <w:rPr>
          <w:lang w:val="el" w:eastAsia="el"/>
        </w:rPr>
        <w:t>14. Ο κωδικός RF πληρώνεται μέσω του τραπεζικού συστήματος, παραλαμβάνεται από το Τ.Π.και Δ. και (αν δεν απορριφθεί για οποιαδήποτε αιτία) ενημερώνει την πληρωμή στο εκκρεμές Δελτίο Σύστασης.</w:t>
      </w:r>
    </w:p>
    <w:p>
      <w:pPr>
        <w:spacing w:before="240" w:after="240"/>
        <w:rPr>
          <w:lang w:val="el" w:eastAsia="el"/>
        </w:rPr>
      </w:pPr>
      <w:r>
        <w:rPr>
          <w:lang w:val="el" w:eastAsia="el"/>
        </w:rPr>
        <w:t>15. Ο υπάλληλος ελέγχει την πληρωμή και βλέποντας εξοφλημένο πλήρως το Δελτίο Σύστασης, με ενέργειά του (click), δημιουργεί το Γραμμάτιο Παρακαταθήκης (στο σημείο αυτό, ενημερώνεται το αντίστοιχο κεντρικό σύστημα παρακαταθηκών).</w:t>
      </w:r>
    </w:p>
    <w:p>
      <w:pPr>
        <w:spacing w:before="240" w:after="240"/>
        <w:rPr>
          <w:lang w:val="el" w:eastAsia="el"/>
        </w:rPr>
      </w:pPr>
      <w:r>
        <w:rPr>
          <w:lang w:val="el" w:eastAsia="el"/>
        </w:rPr>
        <w:t>16. Ο υπάλληλος υπογράφει το γραμμάτιο (με χρήση του Κεντρικού Συστήματος Ηλεκτρονικής Διακίνησης Εγγράφων - ΚΣΗΔΕ), το αναρτά και το προωθεί για υπογραφή στον Προϊστάμενο.</w:t>
      </w:r>
    </w:p>
    <w:p>
      <w:pPr>
        <w:spacing w:before="240" w:after="240"/>
        <w:rPr>
          <w:lang w:val="el" w:eastAsia="el"/>
        </w:rPr>
      </w:pPr>
      <w:r>
        <w:rPr>
          <w:lang w:val="el" w:eastAsia="el"/>
        </w:rPr>
        <w:t>17. Ο Προϊστάμενος, υπογράφει το γραμμάτιο (με χρήση του ΚΣΗΔΕ), το αναρτά και ολοκληρώνει τη διαδικασία.</w:t>
      </w:r>
    </w:p>
    <w:p>
      <w:pPr>
        <w:spacing w:before="240" w:after="240"/>
        <w:rPr>
          <w:lang w:val="el" w:eastAsia="el"/>
        </w:rPr>
      </w:pPr>
      <w:r>
        <w:rPr>
          <w:lang w:val="el" w:eastAsia="el"/>
        </w:rPr>
        <w:t>18. Ο συναλλασσόμενος, στην ολοκληρωμένη διαδικασία, παραλαμβάνει το γραμμάτιο στην ηλεκτρονική θυρίδα του, που υπάρχει, για τον σκοπό αυτό, στο περιβάλλον e-services του Τ.Π. και Δανείων.</w:t>
      </w:r>
    </w:p>
    <w:p>
      <w:pPr>
        <w:spacing w:before="240" w:after="240"/>
        <w:rPr>
          <w:lang w:val="el" w:eastAsia="el"/>
        </w:rPr>
      </w:pPr>
      <w:r>
        <w:rPr>
          <w:lang w:val="el" w:eastAsia="el"/>
        </w:rPr>
        <w:t>III. ΠΡΟΫΠΟΘΕΣΕΙΣ-ΒΑΣΙΚΟΙ ΟΡΟΙ ΣΥΣΤΑΣΗΣ ΧΡΗΜΑΤΙΚΩΝ ΠΑΡΑΚΑΤΑΘΗΚΩΝ ΗΛΕΚΤΡΟΝΙΚΑ- ΘΕΜΑΤΑ ΑΝΤΙΓΡΑΦΩΝ-ΛΟΙΠΑ ΣΥΝΑΦΗ ΘΕΜΑΤΑ</w:t>
      </w:r>
    </w:p>
    <w:p>
      <w:pPr>
        <w:spacing w:before="240" w:after="240"/>
        <w:rPr>
          <w:lang w:val="el" w:eastAsia="el"/>
        </w:rPr>
      </w:pPr>
      <w:r>
        <w:rPr>
          <w:lang w:val="el" w:eastAsia="el"/>
        </w:rPr>
        <w:t>1. Εγγυοδοτικές Παρακαταθήκες</w:t>
      </w:r>
    </w:p>
    <w:p>
      <w:pPr>
        <w:pStyle w:val="StructureList1"/>
        <w:spacing w:before="120" w:after="0"/>
        <w:rPr>
          <w:lang w:val="el" w:eastAsia="el"/>
        </w:rPr>
      </w:pPr>
      <w:r>
        <w:rPr>
          <w:lang w:val="el" w:eastAsia="el"/>
        </w:rPr>
        <w:t>α)</w:t>
      </w:r>
      <w:r>
        <w:rPr>
          <w:lang w:val="en" w:eastAsia="en"/>
        </w:rPr>
        <w:tab/>
      </w:r>
      <w:r>
        <w:rPr>
          <w:lang w:val="el" w:eastAsia="el"/>
        </w:rPr>
        <w:t>Πριν την έναρξη συναλλακτικής σχέσης με το ενδιαφερόμενο φυσικό ή νομικό πρόσωπο, θα υποβάλλονται όλα τα προβλεπόμενα από το ισχύον νομοθετικό και κανονιστικό πλαίσιο δικαιολογητικά για τη δημιουργία οικονομικού και συναλλακτικού προφίλ και θα λαμβάνει χώρα νομιμοποίηση της κατά περίπτωση καταθέτριας εταιρείας. Τα ανωτέρω θα επικαιροποιούνται όταν συντρέχει λόγος και θα επαναλαμβάνονται κατ’ ελάχιστον σε ετήσια βάση.</w:t>
      </w:r>
    </w:p>
    <w:p>
      <w:pPr>
        <w:pStyle w:val="StructureList1"/>
        <w:spacing w:before="120" w:after="0"/>
        <w:rPr>
          <w:lang w:val="el" w:eastAsia="el"/>
        </w:rPr>
      </w:pPr>
      <w:r>
        <w:rPr>
          <w:lang w:val="el" w:eastAsia="el"/>
        </w:rPr>
        <w:t>β)</w:t>
      </w:r>
      <w:r>
        <w:rPr>
          <w:lang w:val="en" w:eastAsia="en"/>
        </w:rPr>
        <w:tab/>
      </w:r>
      <w:r>
        <w:rPr>
          <w:lang w:val="el" w:eastAsia="el"/>
        </w:rPr>
        <w:t>Τα χρήματα που θα χρησιμοποιούνται για την ηλεκτρονική σύσταση παρακαταθήκης θα αποστέλλονται από λογαριασμό προέλευσης με δικαιούχο ή συνδικαιούχο τον καταθέτη. Δεν επιτρέπεται, ούτε κατ’ εξαίρεση, η σύσταση ηλεκτρονικής παρακαταθήκης από λογαριασμό τρίτου φυσικού ή νομικού προσώπου για λογαριασμό του συμμετέχοντος σε διαγωνισμό ωφελούμενου.</w:t>
      </w:r>
    </w:p>
    <w:p>
      <w:pPr>
        <w:pStyle w:val="StructureList1"/>
        <w:spacing w:before="120" w:after="0"/>
        <w:rPr>
          <w:lang w:val="el" w:eastAsia="el"/>
        </w:rPr>
      </w:pPr>
      <w:r>
        <w:rPr>
          <w:lang w:val="el" w:eastAsia="el"/>
        </w:rPr>
        <w:t>γ)</w:t>
      </w:r>
      <w:r>
        <w:rPr>
          <w:lang w:val="en" w:eastAsia="en"/>
        </w:rPr>
        <w:tab/>
      </w:r>
      <w:r>
        <w:rPr>
          <w:lang w:val="el" w:eastAsia="el"/>
        </w:rPr>
        <w:t>Για την περίπτωση συναλλαγής με χρεωστική κάρτα, ορίζεται ως πλαφόν (οροφή) το ποσό που κάθε φορά προβλέπεται για τις διά ζώσης συναλλαγές, εκτός εάν επέλθει μεταβολή με μεταγενέστερη εγκύκλιο. Για τον σκοπό αυτό, οι ενδιαφερόμενοι θα δηλώνουν άπαξ, με την έναρξη της συναλλακτικής σχέσης, τον αριθμό της κάρτας και τον λογαριασμό ΙΒΑΝ με τον οποίο αυτή είναι συνδεδεμένη και θα αποδεικνύουν με νόμιμα παραστατικά ότι είναι οι νόμιμοι χρήστες/κάτοχοι/δικαιούχοι αυτών. Τα ανωτέρω αναλογικά θα ισχύουν και στο πλαίσιο πληρωμής με κωδικό RF.</w:t>
      </w:r>
    </w:p>
    <w:p>
      <w:pPr>
        <w:pStyle w:val="StructureList1"/>
        <w:spacing w:before="120" w:after="0"/>
        <w:rPr>
          <w:lang w:val="el" w:eastAsia="el"/>
        </w:rPr>
      </w:pPr>
      <w:r>
        <w:rPr>
          <w:lang w:val="el" w:eastAsia="el"/>
        </w:rPr>
        <w:t>δ)</w:t>
      </w:r>
      <w:r>
        <w:rPr>
          <w:lang w:val="en" w:eastAsia="en"/>
        </w:rPr>
        <w:tab/>
      </w:r>
      <w:r>
        <w:rPr>
          <w:lang w:val="el" w:eastAsia="el"/>
        </w:rPr>
        <w:t>Η τρέχουσα διοικητική πρακτική, σύμφωνα με την οποία, για την απόδοση ορισμένων κατηγοριών εγγυοδοτικών παρακαταθηκών, δεν προσκομίζεται εντολή της αρμόδιας Αρχής στην οποία κατατίθενται από τους ενδιαφερομένους τα πρωτότυπα Γραμμάτια Παρακαταθήκης, δεν τυγχάνει εφαρμογής, στις περιπτώσεις σύστασης της σχετικής χρηματικής παρακαταθήκης ηλεκτρονικά. Το ίδιο θα ισχύσει εφεξής και για τις αντίστοιχες χρηματικές παρακαταθήκες που συστήνονται με την πάγια, μέχρι σήμερα διαδικασία, εκτός τεκμηριωμένης αντικειμενικής αδυναμίας προσκόμισης της σχετικής εντολής.</w:t>
      </w:r>
    </w:p>
    <w:p>
      <w:pPr>
        <w:pStyle w:val="StructureList1"/>
        <w:spacing w:before="120" w:after="0"/>
        <w:rPr>
          <w:lang w:val="el" w:eastAsia="el"/>
        </w:rPr>
      </w:pPr>
      <w:r>
        <w:rPr>
          <w:lang w:val="el" w:eastAsia="el"/>
        </w:rPr>
        <w:t>ε)</w:t>
      </w:r>
      <w:r>
        <w:rPr>
          <w:lang w:val="en" w:eastAsia="en"/>
        </w:rPr>
        <w:tab/>
      </w:r>
      <w:r>
        <w:rPr>
          <w:lang w:val="el" w:eastAsia="el"/>
        </w:rPr>
        <w:t>Εντός μηνός από τη σύσταση, οι αρμόδιες Οργανικές Μονάδες του Τ.Π.και Δ. εκδίδουν άπαξ, με αίτηση του καταθέτη, ένα ακριβές αντίγραφο του γραμματίου σύστασης παρακαταθήκης που τηρείται στο ηλεκτρονικό αρχείο του Τ.Π.και Δ., το οποίο δεν μπορεί να χρησιμοποιηθεί για είσπραξη χρημάτων.</w:t>
      </w:r>
    </w:p>
    <w:p>
      <w:pPr>
        <w:spacing w:before="240" w:after="240"/>
        <w:rPr>
          <w:lang w:val="el" w:eastAsia="el"/>
        </w:rPr>
      </w:pPr>
      <w:r>
        <w:rPr>
          <w:lang w:val="el" w:eastAsia="el"/>
        </w:rPr>
        <w:t>2. Πλειστηριάσματα</w:t>
      </w:r>
    </w:p>
    <w:p>
      <w:pPr>
        <w:pStyle w:val="StructureList1"/>
        <w:spacing w:before="120" w:after="0"/>
        <w:rPr>
          <w:lang w:val="el" w:eastAsia="el"/>
        </w:rPr>
      </w:pPr>
      <w:r>
        <w:rPr>
          <w:lang w:val="el" w:eastAsia="el"/>
        </w:rPr>
        <w:t>α)</w:t>
      </w:r>
      <w:r>
        <w:rPr>
          <w:lang w:val="en" w:eastAsia="en"/>
        </w:rPr>
        <w:tab/>
      </w:r>
      <w:r>
        <w:rPr>
          <w:lang w:val="el" w:eastAsia="el"/>
        </w:rPr>
        <w:t>Πριν την έναρξη της συναλλακτικής σχέσης, ο Συμβολαιογράφος επικαιροποιεί το προφίλ του με τα προβλεπόμενα ταυτοποιητικά στοιχεία και δηλώνει τον ειδικό επαγγελματικό λογαριασμό προέλευσης, από τον οποίο, βάσει του ισχύοντος νομικού πλαισίου, αποστέλλονται προς δημόσια κατάθεση στο Τ.Π.και Δ. τα ποσά των πλειστηριασμάτων.</w:t>
      </w:r>
    </w:p>
    <w:p>
      <w:pPr>
        <w:pStyle w:val="StructureList1"/>
        <w:spacing w:before="120" w:after="0"/>
        <w:rPr>
          <w:lang w:val="el" w:eastAsia="el"/>
        </w:rPr>
      </w:pPr>
      <w:r>
        <w:rPr>
          <w:lang w:val="el" w:eastAsia="el"/>
        </w:rPr>
        <w:t>β)</w:t>
      </w:r>
      <w:r>
        <w:rPr>
          <w:lang w:val="en" w:eastAsia="en"/>
        </w:rPr>
        <w:tab/>
      </w:r>
      <w:r>
        <w:rPr>
          <w:lang w:val="el" w:eastAsia="el"/>
        </w:rPr>
        <w:t>Μετά την αποστολή των ποσών των πλειστηριασμάτων και τη σύσταση των σχετικών γραμματίων παρακαταθήκης, οι Οργανικές Μονάδες του Τ.Π.και Δ. εκδίδουν, με αίτηση του αρμοδίου επί του πλειστηριασμού υπαλλήλου - συμβολαιογράφου, άπαξ, ένα (1) ακριβές αντίγραφο του Γραμματίου Σύστασης Παρακαταθήκης που τηρείται στα ηλεκτρονικά αρχεία του Τ.Π.και Δ., το οποίο δεν μπορεί να χρησιμοποιηθεί για είσπραξη χρημάτων. γ) Δεν επιτρέπεται χρήση κάρτας για τη δημόσια κατάθεση πλειστηριασμάτων.</w:t>
      </w:r>
    </w:p>
    <w:p>
      <w:pPr>
        <w:spacing w:before="240" w:after="240"/>
        <w:rPr>
          <w:lang w:val="el" w:eastAsia="el"/>
        </w:rPr>
      </w:pPr>
      <w:r>
        <w:rPr>
          <w:lang w:val="el" w:eastAsia="el"/>
        </w:rPr>
        <w:t>IV. ΗΜΕΡΟΜΗΝΙΑ ΕΝΑΡΞΗΣ ΕΦΑΡΜΟΓΗΣ ΣΥΣΤΑΣΗΣ ΧΡΗΜΑΤΙΚΩΝ ΠΑΡΑΚΑΤΑΘΗΚΩΝ ΗΛΕΚΤΡΟΝΙΚΑ</w:t>
      </w:r>
    </w:p>
    <w:p>
      <w:pPr>
        <w:spacing w:before="240" w:after="240"/>
        <w:rPr>
          <w:lang w:val="el" w:eastAsia="el"/>
        </w:rPr>
      </w:pPr>
      <w:r>
        <w:rPr>
          <w:lang w:val="el" w:eastAsia="el"/>
        </w:rPr>
        <w:t>Η ημερομηνία έναρξης ισχύος της παρούσης, που δύναται να παραλλάσσει ανάλογα με το είδος της παρακαταθήκης και το Κατάστημα εφαρμογής (με προτεραιότητα στην Κεντρική Υπηρεσία και στη συνέχεια, στα Καταστήματα Πειραιά, Θεσσαλονίκης και Πάτρας του Τ.Π.και Δ.), θα προσδιοριστεί με σχετικές εγκυκλίους, εφόσον έχουν ολοκληρωθεί οι απαραίτητες, τεχνικής φύσεως, προσαρμογές, στα σχετικά πληροφοριακά συστήματα. Σχετική ενημέρωση θα δοθεί μέσω της ιστοσελίδας του Τ.Π.και Δανείων και της διασύνδεσης με το gov.gr/Ταμείο Παρακαταθηκών και Δανείων.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Δεκεμβρίου 2024</w:t>
      </w:r>
    </w:p>
    <w:p>
      <w:pPr>
        <w:spacing w:before="240" w:after="240"/>
        <w:rPr>
          <w:lang w:val="el" w:eastAsia="el"/>
        </w:rPr>
      </w:pPr>
      <w:r>
        <w:rPr>
          <w:lang w:val="el" w:eastAsia="el"/>
        </w:rPr>
        <w:t>Ο Πρόεδρος</w:t>
      </w:r>
    </w:p>
    <w:p>
      <w:pPr>
        <w:spacing w:before="240" w:after="240"/>
        <w:rPr>
          <w:lang w:val="el" w:eastAsia="el"/>
        </w:rPr>
      </w:pPr>
      <w:r>
        <w:rPr>
          <w:lang w:val="el" w:eastAsia="el"/>
        </w:rPr>
        <w:t>ΔΗΜΗΤΡΙΟΣ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