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Ι</w:t>
      </w:r>
    </w:p>
    <w:p>
      <w:pPr>
        <w:pStyle w:val="PreambelText"/>
        <w:spacing w:before="240" w:after="240"/>
        <w:rPr>
          <w:lang w:val="el" w:eastAsia="el"/>
        </w:rPr>
      </w:pPr>
      <w:r>
        <w:rPr>
          <w:u w:val="single"/>
          <w:lang w:val="el" w:eastAsia="el"/>
        </w:rPr>
        <w:t>Αριθμ. Α.1190</w:t>
      </w:r>
      <w:r>
        <w:rPr>
          <w:lang w:val="el" w:eastAsia="el"/>
        </w:rPr>
        <w:t xml:space="preserve"> (2)</w:t>
      </w:r>
    </w:p>
    <w:p>
      <w:pPr>
        <w:pStyle w:val="PreambelText"/>
        <w:spacing w:before="240" w:after="240"/>
        <w:rPr>
          <w:lang w:val="el" w:eastAsia="el"/>
        </w:rPr>
      </w:pPr>
      <w:r>
        <w:rPr>
          <w:b/>
          <w:bCs/>
          <w:lang w:val="el" w:eastAsia="el"/>
        </w:rPr>
        <w:t>Τροποποίηση των ορίων της Ελεύθερης Ζώνης του Λιμένα Θεσσαλονίκης.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Κανονισμό (ΕΕ) αριθ. 952/2013 του Ευρωπαϊκού Κοινοβουλίου και του Συμβουλίου της 9ης Οκτωβρίου 2013 για τη θέσπιση του ενωσιακού τελωνειακού κώδικα (L 269) και ειδικότερα τα άρθρα 22-30,139, 158, 210, 214-225, 237-239 και 243-249.</w:t>
      </w:r>
    </w:p>
    <w:p>
      <w:pPr>
        <w:pStyle w:val="PreambelText"/>
        <w:spacing w:before="240" w:after="240"/>
        <w:rPr>
          <w:lang w:val="el" w:eastAsia="el"/>
        </w:rPr>
      </w:pPr>
      <w:r>
        <w:rPr>
          <w:lang w:val="el" w:eastAsia="el"/>
        </w:rPr>
        <w:t>2. Τον κατ’ εξουσιοδότηση Κανονισμό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ειδικότερα τα άρθρα 8-11, 13-18, 178, 180, 182.</w:t>
      </w:r>
    </w:p>
    <w:p>
      <w:pPr>
        <w:pStyle w:val="PreambelText"/>
        <w:spacing w:before="240" w:after="240"/>
        <w:rPr>
          <w:lang w:val="el" w:eastAsia="el"/>
        </w:rPr>
      </w:pPr>
      <w:r>
        <w:rPr>
          <w:lang w:val="el" w:eastAsia="el"/>
        </w:rPr>
        <w:t>3. Τον Εκτελεστικό Κανονισμό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 343) και ειδικότερα τα άρθρα 8, 12, 15, 264 και 266.</w:t>
      </w:r>
    </w:p>
    <w:p>
      <w:pPr>
        <w:pStyle w:val="PreambelText"/>
        <w:spacing w:before="240" w:after="240"/>
        <w:rPr>
          <w:lang w:val="el" w:eastAsia="el"/>
        </w:rPr>
      </w:pPr>
      <w:r>
        <w:rPr>
          <w:lang w:val="el" w:eastAsia="el"/>
        </w:rPr>
        <w:t>4. Τον κατ’ εξουσιοδότηση Κανονισμό (ΕΕ) 2016/341 της Επιτροπής της 17ης Δεκεμβρίου 2015 για τη συμπλήρωση του Κανονισμού (ΕΕ) αριθ.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(L69).</w:t>
      </w:r>
    </w:p>
    <w:p>
      <w:pPr>
        <w:pStyle w:val="PreambelText"/>
        <w:spacing w:before="240" w:after="240"/>
        <w:rPr>
          <w:lang w:val="el" w:eastAsia="el"/>
        </w:rPr>
      </w:pPr>
      <w:r>
        <w:rPr>
          <w:lang w:val="el" w:eastAsia="el"/>
        </w:rPr>
        <w:t>5. Τον Εθνικό Τελωνειακό Κώδικα (ν. 2960/2001, Α’ 265) και ειδικότερα το άρθρο 39 αυτού.</w:t>
      </w:r>
    </w:p>
    <w:p>
      <w:pPr>
        <w:pStyle w:val="PreambelText"/>
        <w:spacing w:before="240" w:after="240"/>
        <w:rPr>
          <w:lang w:val="el" w:eastAsia="el"/>
        </w:rPr>
      </w:pPr>
      <w:r>
        <w:rPr>
          <w:lang w:val="el" w:eastAsia="el"/>
        </w:rPr>
        <w:t>6. Την υπό στοιχεία ΔΔΘΕΚΑ Δ 1144720 ΕΞ 2018/ 27.09.2018 απόφαση του Διοικητή της Ανεξάρτητης Αρχής Δημοσίων Εσόδων «Ίδρυση και λειτουργία των Ελευθέρων Ζωνών» (Β’ 4513).</w:t>
      </w:r>
    </w:p>
    <w:p>
      <w:pPr>
        <w:pStyle w:val="PreambelText"/>
        <w:spacing w:before="240" w:after="240"/>
        <w:rPr>
          <w:lang w:val="el" w:eastAsia="el"/>
        </w:rPr>
      </w:pPr>
      <w:r>
        <w:rPr>
          <w:lang w:val="el" w:eastAsia="el"/>
        </w:rPr>
        <w:t>7. Τον ν. 390/1914 «Περί Ελευθέρας Ζώνης εν Θεσσαλονίκη» (Α’ 342), με τον οποίο ιδρύθηκε η Ελεύθερη Ζώνη Θεσσαλονίκης.</w:t>
      </w:r>
    </w:p>
    <w:p>
      <w:pPr>
        <w:pStyle w:val="PreambelText"/>
        <w:spacing w:before="240" w:after="240"/>
        <w:rPr>
          <w:lang w:val="el" w:eastAsia="el"/>
        </w:rPr>
      </w:pPr>
      <w:r>
        <w:rPr>
          <w:lang w:val="el" w:eastAsia="el"/>
        </w:rPr>
        <w:t>8. Την υπό στοιχεία Θ.1995/102/Γ0019/30-12-1994 ΑΥΟ, με την οποία καθορίστηκαν τα όρια της Ελεύθερης Ζώνης του Λιμένα Θεσσαλονίκης (Β’ 8).</w:t>
      </w:r>
    </w:p>
    <w:p>
      <w:pPr>
        <w:pStyle w:val="PreambelText"/>
        <w:spacing w:before="240" w:after="240"/>
        <w:rPr>
          <w:lang w:val="el" w:eastAsia="el"/>
        </w:rPr>
      </w:pPr>
      <w:r>
        <w:rPr>
          <w:lang w:val="el" w:eastAsia="el"/>
        </w:rPr>
        <w:t>9. Τις υπό στοιχεία Τ.3538/32/Γ0019/26-08-2002 ΑΥΟ (Β’ 1133), Ο.894/7 π.ε/11-03-2008 ΑΥΟΟ (Α.Α.Π. 117), Δ19Γ 5031052 ΕΞ2011/13-07-11 ΑΥΟ (Β’ 1751) και τις αριθ. Α.1046/26.02.2021 (Β’ 924), Α.1114/25-08-2022 (Β’ 4504), Α.1186/23-11-2023 (Β’ 6926/2023) αποφάσεις Διοικητή Α.Α.Δ.Ε. με τις οποίες τροποποιήθηκαν τα όρια της Ελεύθερης Ζώνης του Λιμένα Θεσσαλονίκης.</w:t>
      </w:r>
    </w:p>
    <w:p>
      <w:pPr>
        <w:pStyle w:val="PreambelText"/>
        <w:spacing w:before="240" w:after="240"/>
        <w:rPr>
          <w:lang w:val="el" w:eastAsia="el"/>
        </w:rPr>
      </w:pPr>
      <w:r>
        <w:rPr>
          <w:lang w:val="el" w:eastAsia="el"/>
        </w:rPr>
        <w:t>10. Την υπ’ αρ. 1761/22-12-2023 αίτηση του Οργανισμού Λιμένος Θεσσαλονίκης ΑΕ, ως Φορέα Διαχείρισης της Ελεύθερης Ζώνης του Λιμένα Θεσσαλονίκης, με την οποία αιτείται την τροποποίηση των ορίων της Ελεύθερης Ζώνης.</w:t>
      </w:r>
    </w:p>
    <w:p>
      <w:pPr>
        <w:pStyle w:val="PreambelText"/>
        <w:spacing w:before="240" w:after="240"/>
        <w:rPr>
          <w:lang w:val="el" w:eastAsia="el"/>
        </w:rPr>
      </w:pPr>
      <w:r>
        <w:rPr>
          <w:lang w:val="el" w:eastAsia="el"/>
        </w:rPr>
        <w:t>11. Το υπό στοιχεία 1001085ΕΞ2024/4-1-2024 έγγραφο της Υπηρεσίας μας προς το 1ο Τελωνείο Θεσσαλονίκης, σχετικά με τη διενέργεια αυτοψίας και την παροχή απόψεων για την τροποποίηση των ορίων της Ε.Ζ. Θεσσαλονίκης.</w:t>
      </w:r>
    </w:p>
    <w:p>
      <w:pPr>
        <w:pStyle w:val="PreambelText"/>
        <w:spacing w:before="240" w:after="240"/>
        <w:rPr>
          <w:lang w:val="el" w:eastAsia="el"/>
        </w:rPr>
      </w:pPr>
      <w:r>
        <w:rPr>
          <w:lang w:val="el" w:eastAsia="el"/>
        </w:rPr>
        <w:t>12. Το υπ’ αρ. 42930/30-10-2024 (επανάληψη στο ορθό) έγγραφο του 1ου Τελωνείου Θεσσαλονίκης, ως τελωνείο ελέγχου, με το οποίο διαβιβάζεται η αυτοψία που έχει πραγματοποιηθεί στον προτεινόμενο χώρο τροποποίησης των ορίων της Ελεύθερης Ζώνης του Λιμένα Θεσσαλονίκης και αποτυπώνεται η σύμφωνη γνώμη του.</w:t>
      </w:r>
    </w:p>
    <w:p>
      <w:pPr>
        <w:pStyle w:val="PreambelText"/>
        <w:spacing w:before="240" w:after="240"/>
        <w:rPr>
          <w:lang w:val="el" w:eastAsia="el"/>
        </w:rPr>
      </w:pPr>
      <w:r>
        <w:rPr>
          <w:lang w:val="el" w:eastAsia="el"/>
        </w:rPr>
        <w:t>13.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παραγράφου 1 του άρθρου 14 και του άρθρου 41 αυτού.</w:t>
      </w:r>
    </w:p>
    <w:p>
      <w:pPr>
        <w:pStyle w:val="PreambelText"/>
        <w:spacing w:before="240" w:after="240"/>
        <w:rPr>
          <w:lang w:val="el" w:eastAsia="el"/>
        </w:rPr>
      </w:pPr>
      <w:r>
        <w:rPr>
          <w:lang w:val="el" w:eastAsia="el"/>
        </w:rPr>
        <w:t>14. Την υπό στοιχεία Δ.ΟΡΓ. Α 1125859 ΕΞ2020/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15.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16.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την υπ’ αρ. 39/3/30-11-2017 (Υ.Ο.Δ.Δ. 689) απόφαση του Συμβουλίου Διοίκησης της Α.Α.Δ.Ε. «Ανανέωση θητείας του Διοικητή της Ανεξάρτητης Αρχής Δημοσίων Εσόδων» και την υπ’ αρ.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17.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Όρια Ελεύθερης Ζώνης</w:t>
      </w:r>
    </w:p>
    <w:p>
      <w:pPr>
        <w:pStyle w:val="MainText"/>
        <w:spacing w:before="120" w:after="0"/>
        <w:rPr>
          <w:lang w:val="el" w:eastAsia="el"/>
        </w:rPr>
      </w:pPr>
      <w:r>
        <w:rPr>
          <w:b/>
          <w:bCs/>
          <w:lang w:val="el" w:eastAsia="el"/>
        </w:rPr>
        <w:t>1.</w:t>
      </w:r>
      <w:r>
        <w:rPr>
          <w:lang w:val="el" w:eastAsia="el"/>
        </w:rPr>
        <w:t xml:space="preserve"> Εγκρίνεται η τροποποίηση των ορίων της Ελεύθερης Ζώνης του Λιμένα Θεσσαλονίκης και κατόπιν αυτής</w:t>
      </w:r>
    </w:p>
    <w:p>
      <w:pPr>
        <w:pStyle w:val="StructureList1"/>
        <w:spacing w:before="120" w:after="0"/>
        <w:rPr>
          <w:lang w:val="el" w:eastAsia="el"/>
        </w:rPr>
      </w:pPr>
      <w:r>
        <w:rPr>
          <w:lang w:val="el" w:eastAsia="el"/>
        </w:rPr>
        <w:t>α)</w:t>
      </w:r>
      <w:r>
        <w:rPr>
          <w:lang w:val="en" w:eastAsia="en"/>
        </w:rPr>
        <w:tab/>
      </w:r>
      <w:r>
        <w:rPr>
          <w:lang w:val="el" w:eastAsia="el"/>
        </w:rPr>
        <w:t>τα συνολικά όρια της Ελεύθερης Ζώνης οριοθετούνται από τα σημεία 1, 2, 3, 4, 5, 6, 7, 8, 9, L1, L2, L2α, L3, L4, L5, L6, L7, L8, L, M1, M, N, J, O, P, R, S, T, Y, AA, DA, F, Fa, e’, e1, e2, e3, e4, e5, k, l, m, n1, m1, m2, m3, m4, m5, n2, n3, n4, n5, n6, n7, n8, n9, n10, o, o1, o2, o3, 18, 19, 20, 21, 22, 23, 24, 25, 26, 27, 28, 29, 30, 1, όπως αυτά αποτυπώνονται στο συνημμένο τοπογραφικό διάγραμμα και</w:t>
      </w:r>
    </w:p>
    <w:p>
      <w:pPr>
        <w:pStyle w:val="StructureList1"/>
        <w:spacing w:before="120" w:after="0"/>
        <w:rPr>
          <w:lang w:val="el" w:eastAsia="el"/>
        </w:rPr>
      </w:pPr>
      <w:r>
        <w:rPr>
          <w:lang w:val="el" w:eastAsia="el"/>
        </w:rPr>
        <w:t>β)</w:t>
      </w:r>
      <w:r>
        <w:rPr>
          <w:lang w:val="en" w:eastAsia="en"/>
        </w:rPr>
        <w:tab/>
      </w:r>
      <w:r>
        <w:rPr>
          <w:lang w:val="el" w:eastAsia="el"/>
        </w:rPr>
        <w:t>η συνολική επιφάνεια της Ελεύθερης Ζώνης ανέρχεται σε 1.052.262 τ.μ.</w:t>
      </w:r>
    </w:p>
    <w:p>
      <w:pPr>
        <w:pStyle w:val="MainText"/>
        <w:spacing w:before="120" w:after="0"/>
        <w:rPr>
          <w:lang w:val="el" w:eastAsia="el"/>
        </w:rPr>
      </w:pPr>
      <w:r>
        <w:rPr>
          <w:b/>
          <w:bCs/>
          <w:lang w:val="el" w:eastAsia="el"/>
        </w:rPr>
        <w:t>2.</w:t>
      </w:r>
      <w:r>
        <w:rPr>
          <w:lang w:val="el" w:eastAsia="el"/>
        </w:rPr>
        <w:t xml:space="preserve"> Με απόφασή του το 1ο Τελωνείο Θεσσαλονίκης, ως τελωνείο ελέγχου της Ελεύθερης Ζώνης, καθορίζει την ημερομηνία έναρξης εφαρμογής των διατάξεων που διέπουν τη λειτουργία της Ελεύθερης Ζώνης του Λιμένα Θεσσαλονίκης και στο τμήμα της τροποποίησης των ορίων της.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Δεκεμβρίου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