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υπό στοιχεία Α. 1147/2024 απόφασης Διοικητή ΑΑΔΕ με θέμα «Καθορισμός διαδικασίας καταστροφής αχρησιμοποίητων αποθεμάτων εντύπων παραβόλων του πρώτου εδαφίου της παρ. 3 του άρθρου 29 του ν. 3943/2011 (Α΄66) τα οποία αντικαταστάθηκαν με ηλεκτρονικό παράβολο» (Β΄5576)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ΑΑΔΕ</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παρ. 3 και 4 του άρθρου 29 του ν. 3943/2011 «Καταπολέμηση της φοροδιαφυγής, στελέχωση των ελεγκτικών υπηρεσιών και άλλες διατάξεις αρμοδιότητας Υπουργείου Οικονομικών» (Α΄ 66).</w:t>
      </w:r>
    </w:p>
    <w:p>
      <w:pPr>
        <w:pStyle w:val="PreambelText"/>
        <w:spacing w:before="240" w:after="240"/>
        <w:rPr>
          <w:lang w:val="el" w:eastAsia="el"/>
        </w:rPr>
      </w:pPr>
      <w:r>
        <w:rPr>
          <w:lang w:val="el" w:eastAsia="el"/>
        </w:rPr>
        <w:t xml:space="preserve">2.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 xml:space="preserve">3. </w:t>
      </w:r>
      <w:r>
        <w:rPr>
          <w:b/>
          <w:bCs/>
          <w:lang w:val="el" w:eastAsia="el"/>
        </w:rPr>
        <w:t>Την υπό στοιχεία Α. 1047/2020 «Όροι και διαδικασία είσπραξης – επιστροφής για την εφαρμογή του ηλεκτρονικού παραβόλου» (Β΄979) κοινή απόφαση του Υφυπουργού Οικονομικών και του Υπουργού Επικρατείας.</w:t>
      </w:r>
    </w:p>
    <w:p>
      <w:pPr>
        <w:pStyle w:val="PreambelText"/>
        <w:spacing w:before="240" w:after="240"/>
        <w:rPr>
          <w:lang w:val="el" w:eastAsia="el"/>
        </w:rPr>
      </w:pPr>
      <w:r>
        <w:rPr>
          <w:lang w:val="el" w:eastAsia="el"/>
        </w:rPr>
        <w:t xml:space="preserve">4.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pStyle w:val="PreambelText"/>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6.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7, την παράγραφο 1 του άρθρου 14 και το άρθρο 41 αυτού.</w:t>
      </w:r>
    </w:p>
    <w:p>
      <w:pPr>
        <w:pStyle w:val="PreambelText"/>
        <w:spacing w:before="240" w:after="240"/>
        <w:rPr>
          <w:lang w:val="el" w:eastAsia="el"/>
        </w:rPr>
      </w:pPr>
      <w:r>
        <w:rPr>
          <w:lang w:val="el" w:eastAsia="el"/>
        </w:rPr>
        <w:t xml:space="preserve">7.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αρ.39/3/30-11- 2017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8. </w:t>
      </w:r>
      <w:r>
        <w:rPr>
          <w:b/>
          <w:bCs/>
          <w:lang w:val="el" w:eastAsia="el"/>
        </w:rPr>
        <w:t>Την υπό στοιχεία Α. 1147/2024 «Καθορισμός διαδικασίας καταστροφής αχρησιμοποίητων αποθεμάτων εντύπων παραβόλων του πρώτου εδαφίου της παρ. 3 του άρθρου 29 του ν. 3943/2011 (Α΄66) τα οποία αντικαταστάθηκαν με ηλεκτρονικό παράβολο» απόφαση Διοικητή ΑΑΔΕ (Β΄5576).</w:t>
      </w:r>
    </w:p>
    <w:p>
      <w:pPr>
        <w:pStyle w:val="PreambelText"/>
        <w:spacing w:before="240" w:after="240"/>
        <w:rPr>
          <w:lang w:val="el" w:eastAsia="el"/>
        </w:rPr>
      </w:pPr>
      <w:r>
        <w:rPr>
          <w:lang w:val="el" w:eastAsia="el"/>
        </w:rPr>
        <w:t xml:space="preserve">9. </w:t>
      </w:r>
      <w:r>
        <w:rPr>
          <w:b/>
          <w:bCs/>
          <w:lang w:val="el" w:eastAsia="el"/>
        </w:rPr>
        <w:t>Την ανάγκη τροποποίησης της απόφασης λόγω έλλειψης ανθρώπινων πόρων.</w:t>
      </w:r>
    </w:p>
    <w:p>
      <w:pPr>
        <w:pStyle w:val="PreambelText"/>
        <w:spacing w:before="240" w:after="240"/>
        <w:rPr>
          <w:lang w:val="el" w:eastAsia="el"/>
        </w:rPr>
      </w:pPr>
      <w:r>
        <w:rPr>
          <w:lang w:val="el" w:eastAsia="el"/>
        </w:rPr>
        <w:t xml:space="preserve">10.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H παρ. 3 του άρθρου 3 της υπό στοιχεία Α. 1147/2024 (Β’ 5576) απόφασης Διοικητή ΑΑΔΕ διαγράφεται, αναριθμούνται οι επόμενες παράγραφοι αυτού και στο τέλος της νέας παρ. 4 προστίθεται νέο εδάφιο ως εξής:</w:t>
      </w:r>
    </w:p>
    <w:p>
      <w:pPr>
        <w:spacing w:before="240" w:after="240"/>
        <w:rPr>
          <w:lang w:val="el" w:eastAsia="el"/>
        </w:rPr>
      </w:pPr>
      <w:r>
        <w:rPr>
          <w:b/>
          <w:bCs/>
          <w:lang w:val="el" w:eastAsia="el"/>
        </w:rPr>
        <w:t>«Η Φορολογική Περιφέρεια, κατόπιν της ενημέρωσης του προηγούμενου εδαφίου, εκδίδει πράξη με την οποία βεβαιώνεται η ορθή ολοκλήρωση της διαδικασίας καταστροφής των αχρησιμοποίητων αποθεμάτων εντύπων παραβόλων».</w:t>
      </w:r>
    </w:p>
    <w:p>
      <w:pPr>
        <w:pStyle w:val="MainText"/>
        <w:spacing w:before="120" w:after="0"/>
        <w:rPr>
          <w:lang w:val="el" w:eastAsia="el"/>
        </w:rPr>
      </w:pPr>
      <w:r>
        <w:rPr>
          <w:b/>
          <w:bCs/>
          <w:lang w:val="el" w:eastAsia="el"/>
        </w:rPr>
        <w:t>2.</w:t>
      </w:r>
      <w:r>
        <w:rPr>
          <w:lang w:val="el" w:eastAsia="el"/>
        </w:rPr>
        <w:t xml:space="preserve"> </w:t>
      </w:r>
      <w:r>
        <w:rPr>
          <w:b/>
          <w:bCs/>
          <w:lang w:val="el" w:eastAsia="el"/>
        </w:rPr>
        <w:t>Λόγω της αναρίθμησης σύμφωνα με την παρ. 1, επέρχονται οι κάτωθι τροποποιήσεις επί της υπό στοιχεία Α. 1147/2024 (Β’ 5576) απόφασης Διοικητή ΑΑΔΕ:</w:t>
      </w:r>
    </w:p>
    <w:p>
      <w:pPr>
        <w:pStyle w:val="StructureList1"/>
        <w:spacing w:before="120" w:after="0"/>
        <w:rPr>
          <w:lang w:val="el" w:eastAsia="el"/>
        </w:rPr>
      </w:pPr>
      <w:r>
        <w:rPr>
          <w:lang w:val="el" w:eastAsia="el"/>
        </w:rPr>
        <w:t>α)</w:t>
      </w:r>
      <w:r>
        <w:rPr>
          <w:lang w:val="en" w:eastAsia="en"/>
        </w:rPr>
        <w:tab/>
      </w:r>
      <w:r>
        <w:rPr>
          <w:b/>
          <w:bCs/>
          <w:lang w:val="el" w:eastAsia="el"/>
        </w:rPr>
        <w:t>στο πέμπτο εδάφιο της παρ. 1 του άρθρου 3 οι λέξεις «παρ. 5» αντικαθίστανται από τις λέξεις «παρ. 4».</w:t>
      </w:r>
    </w:p>
    <w:p>
      <w:pPr>
        <w:pStyle w:val="StructureList1"/>
        <w:spacing w:before="120" w:after="0"/>
        <w:rPr>
          <w:lang w:val="el" w:eastAsia="el"/>
        </w:rPr>
      </w:pPr>
      <w:r>
        <w:rPr>
          <w:lang w:val="el" w:eastAsia="el"/>
        </w:rPr>
        <w:t>β)</w:t>
      </w:r>
      <w:r>
        <w:rPr>
          <w:lang w:val="en" w:eastAsia="en"/>
        </w:rPr>
        <w:tab/>
      </w:r>
      <w:r>
        <w:rPr>
          <w:b/>
          <w:bCs/>
          <w:lang w:val="el" w:eastAsia="el"/>
        </w:rPr>
        <w:t>στο δεύτερο εδάφιο της παρ. 2 του άρθρου 3 οι λέξεις «παρ. 5» αντικαθίστανται από τις λέξεις «παρ. 4» και</w:t>
      </w:r>
    </w:p>
    <w:p>
      <w:pPr>
        <w:pStyle w:val="StructureList1"/>
        <w:spacing w:before="120" w:after="0"/>
        <w:rPr>
          <w:lang w:val="el" w:eastAsia="el"/>
        </w:rPr>
      </w:pPr>
      <w:r>
        <w:rPr>
          <w:lang w:val="el" w:eastAsia="el"/>
        </w:rPr>
        <w:t>γ)</w:t>
      </w:r>
      <w:r>
        <w:rPr>
          <w:lang w:val="en" w:eastAsia="en"/>
        </w:rPr>
        <w:tab/>
      </w:r>
      <w:r>
        <w:rPr>
          <w:b/>
          <w:bCs/>
          <w:lang w:val="el" w:eastAsia="el"/>
        </w:rPr>
        <w:t>στην περ. (α) της νέας παρ. 6 του άρθρου 3 οι λέξεις «παρ. 5 και 6» αντικαθίστανται από τις λέξεις «παρ. 4 και 5».</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lang w:val="el" w:eastAsia="el"/>
        </w:rPr>
        <w:t xml:space="preserve">6) </w:t>
      </w:r>
      <w:r>
        <w:rPr>
          <w:b/>
          <w:bCs/>
          <w:lang w:val="el" w:eastAsia="el"/>
        </w:rPr>
        <w:t>Διεύθυνση Λειτουργίας Οριζόντιων Συστημάτων, Εκτυπώσεων, Λειτουργικής Υποστήριξης και Υποστήριξης Χρηστών της Γενικής Γραμματείας Πληροφοριακών Συστημάτων και Ψηφιακής Διακυβέρνησης (Γ.Γ.Π.Σ.Ψ.Δ.) του Υπουργείου Ψηφιακής Διακυβέρνησης (email:</w:t>
      </w:r>
      <w:hyperlink r:id="rId4" w:history="1">
        <w:r>
          <w:rPr>
            <w:rStyle w:val="Hyperlink"/>
            <w:b/>
            <w:bCs/>
            <w:color w:val="0000EE"/>
            <w:u w:color="0000EE"/>
            <w:lang w:val="el" w:eastAsia="el"/>
          </w:rPr>
          <w:t xml:space="preserve">dlosely@gsis.gr </w:t>
        </w:r>
      </w:hyperlink>
      <w:r>
        <w:rPr>
          <w:b/>
          <w:bCs/>
          <w:lang w:val="el" w:eastAsia="el"/>
        </w:rPr>
        <w:t>)</w:t>
      </w:r>
    </w:p>
    <w:p>
      <w:pPr>
        <w:spacing w:before="240" w:after="240"/>
        <w:rPr>
          <w:lang w:val="el" w:eastAsia="el"/>
        </w:rPr>
      </w:pPr>
      <w:r>
        <w:rPr>
          <w:b/>
          <w:bCs/>
          <w:lang w:val="el" w:eastAsia="el"/>
        </w:rPr>
        <w:t>7) Διεύθυνση Διαχείρισης Δημοσίου Υλικού της Γενικής Γραμματείας Τελωνείων και Ε.Φ.Κ.</w:t>
      </w:r>
    </w:p>
    <w:p>
      <w:pPr>
        <w:spacing w:before="240" w:after="240"/>
        <w:rPr>
          <w:lang w:val="el" w:eastAsia="el"/>
        </w:rPr>
      </w:pPr>
      <w:r>
        <w:rPr>
          <w:lang w:val="el" w:eastAsia="el"/>
        </w:rPr>
        <w:t xml:space="preserve">8) </w:t>
      </w:r>
      <w:r>
        <w:rPr>
          <w:b/>
          <w:bCs/>
          <w:lang w:val="el" w:eastAsia="el"/>
        </w:rPr>
        <w:t>Διεύθυνση Τελωνειακών Διαδικασιών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losely@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