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b/>
          <w:bCs/>
          <w:lang w:val="el" w:eastAsia="el"/>
        </w:rPr>
        <w:t>Α. ΓΡΑΦΕΙΟ ΥΦΥΠΟΥΡΓΟΥ ΕΘΝΙΚΗΣ</w:t>
      </w:r>
    </w:p>
    <w:p>
      <w:pPr>
        <w:pStyle w:val="Title"/>
        <w:spacing w:before="120" w:after="360"/>
        <w:rPr>
          <w:lang w:val="el" w:eastAsia="el"/>
        </w:rPr>
      </w:pPr>
      <w:r>
        <w:rPr>
          <w:b/>
          <w:bCs/>
          <w:lang w:val="el" w:eastAsia="el"/>
        </w:rPr>
        <w:t>ΟΙΚΟΝΟΜΙΑΣ ΚΑΙ ΟΙΚΟΝΟΜΙΚΩΝ</w:t>
      </w:r>
    </w:p>
    <w:p>
      <w:pPr>
        <w:pStyle w:val="Title"/>
        <w:spacing w:before="120" w:after="360"/>
        <w:rPr>
          <w:lang w:val="el" w:eastAsia="el"/>
        </w:rPr>
      </w:pPr>
      <w:r>
        <w:rPr>
          <w:b/>
          <w:bCs/>
          <w:lang w:val="el" w:eastAsia="el"/>
        </w:rPr>
        <w:t>Β.</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-ΔΙΕΥΘΥΝΣΗ ΕΠΙΧΕΙΡΗΣΙΑΚΩΝ ΔΙΑΔΙΚΑΣΙΩΝ ΤΜΗΜΑ B</w:t>
      </w:r>
    </w:p>
    <w:p>
      <w:pPr>
        <w:spacing w:before="240" w:after="240"/>
        <w:rPr>
          <w:lang w:val="el" w:eastAsia="el"/>
        </w:rPr>
      </w:pPr>
      <w:r>
        <w:rPr>
          <w:b/>
          <w:bCs/>
          <w:lang w:val="el" w:eastAsia="el"/>
        </w:rPr>
        <w:t>Αθήνα, 27/12/2024</w:t>
      </w:r>
    </w:p>
    <w:p>
      <w:pPr>
        <w:spacing w:before="240" w:after="240"/>
        <w:rPr>
          <w:lang w:val="el" w:eastAsia="el"/>
        </w:rPr>
      </w:pPr>
      <w:r>
        <w:rPr>
          <w:b/>
          <w:bCs/>
          <w:lang w:val="el" w:eastAsia="el"/>
        </w:rPr>
        <w:t>Αριθ. Πρωτ.: Α. 1202</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Πειραιώς 180 177 78 Ταύρος </w:t>
      </w:r>
      <w:hyperlink r:id="rId4" w:history="1">
        <w:r>
          <w:rPr>
            <w:rStyle w:val="Hyperlink"/>
            <w:b/>
            <w:bCs/>
            <w:color w:val="0000EE"/>
            <w:u w:color="0000EE"/>
            <w:lang w:val="el" w:eastAsia="el"/>
          </w:rPr>
          <w:t>deef@aade.gr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 Ως πίνακας διανομής</w:t>
      </w:r>
    </w:p>
    <w:p>
      <w:pPr>
        <w:spacing w:before="240" w:after="240"/>
        <w:rPr>
          <w:lang w:val="el" w:eastAsia="el"/>
        </w:rPr>
      </w:pPr>
      <w:r>
        <w:rPr>
          <w:b/>
          <w:bCs/>
          <w:u w:val="single"/>
          <w:lang w:val="el" w:eastAsia="el"/>
        </w:rPr>
        <w:t>Κοιν : Ως πίνακας διανομής</w:t>
      </w:r>
    </w:p>
    <w:p>
      <w:pPr>
        <w:spacing w:before="240" w:after="240"/>
        <w:rPr>
          <w:lang w:val="el" w:eastAsia="el"/>
        </w:rPr>
      </w:pPr>
      <w:r>
        <w:rPr>
          <w:b/>
          <w:bCs/>
          <w:u w:val="single"/>
          <w:lang w:val="el" w:eastAsia="el"/>
        </w:rPr>
        <w:t>ΘΕΜΑ: Τροποποίηση της κοινής απόφασης Α.1217/2023 «Καθορισμός του τύπου και του περιεχομένου της δήλωσης απόδοσης του τέλους ανθεκτικότητας στην κλιματική κρίση, του τρόπου προσδιορισμού των προσώπων που είναι υπόχρεα στην απόδοση του τέλους, του χρόνου και της διαδικασίας επιβολής και απόδοσης του, του περιεχομένου, της διαδικασίας και του τρόπου έκδοσης του ειδικού στοιχείου – απόδειξης είσπραξης του, καθώς και κάθε άλλης αναγκαίας λεπτομέρειας.» (Β’ 7535)</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άρθρου 53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ισχύει μετά την τροποποίησή του με το άρθρο 24 του Ν.5162/2024 (Α΄198),</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Κώδικα Φορολογικής Διαδικασίας, (ν. 5104/2024, Α΄58) εφεξής ΚΦΔ. γ) των άρθρων 81 έως και 86 του ν. 4270/2014 «Αρχές δημοσιονομικής διαχείρισης και εποπτείας (ενσωμάτωση της οδηγίας 2011/85/ΕΕ) – Δημόσιο Λογιστικό» (Α΄143),</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π.δ. 142/2017 «Οργανισμός Υπουργείου Οικονομικών» (Α΄ 181).</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π.δ. 32/2024 «Διορισμός Υπουργών, Αναπληρωτών Υπουργών και Υφυπουργών» (Α΄91)</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της υπό στοιχεία Υ2/09.07.2019 απόφασης του Πρωθυπουργού «Σύσταση θέσεων Αναπληρωτή Υπουργού και Υφυπουργών» (Β΄ 2901).</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της υπ’ αρ. 84913 ΕΞ 2024/17.6.2024 κοινής απόφασης του Πρωθυπουργού και του Υπουργού Οικονομικών «Ανάθεση αρμοδιοτήτων στον Υφυπουργό Εθνικής Οικονομίας και Οικονομικών, Χρίστο Δήμα (Β΄ 3472).</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της υπό στοιχεία Δ.ΟΡΓ.Α 1125859ΕΞ2020/23-10-2020,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b/>
          <w:bCs/>
          <w:u w:val="single"/>
          <w:lang w:val="el" w:eastAsia="el"/>
        </w:rPr>
        <w:t>2.Την κοινή απόφαση του Υφυπουργού Εθνικής Οικονομίας και Οικονομικών και του Υπουργού Περιβάλλοντος και Ενέργειας Α.1217/2023 «Καθορισμός του τύπου και του περιεχομένου της δήλωσης απόδοσης του τέλους ανθεκτικότητας στην κλιματική κρίση, του τρόπου προσδιορισμού των προσώπων που είναι υπόχρεα στην απόδοση του τέλους, του χρόνου και της διαδικασίας επιβολής και απόδοσης του, του περιεχομένου, της διαδικασίας και του τρόπου έκδοσης του ειδικού στοιχείου – απόδειξης είσπραξης του, καθώς και κάθε άλλης αναγκαίας λεπτομέρειας.» (Β’ 7535).</w:t>
      </w:r>
    </w:p>
    <w:p>
      <w:pPr>
        <w:spacing w:before="240" w:after="240"/>
        <w:rPr>
          <w:lang w:val="el" w:eastAsia="el"/>
        </w:rPr>
      </w:pPr>
      <w:r>
        <w:rPr>
          <w:b/>
          <w:bCs/>
          <w:u w:val="single"/>
          <w:lang w:val="el" w:eastAsia="el"/>
        </w:rPr>
        <w:t>3.Την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4. </w:t>
      </w:r>
      <w:r>
        <w:rPr>
          <w:b/>
          <w:bCs/>
          <w:u w:val="single"/>
          <w:lang w:val="el" w:eastAsia="el"/>
        </w:rPr>
        <w:t>Την ανάγκη τροποποίησης της κοινής απόφασης του Υφυπουργού Εθνικής Οικονομίας και Οικονομικών και του Υπουργού Περιβάλλοντος και Ενέργειας Α.1217/2023 κατόπιν δημοσίευσης των διατάξεων του άρθρου 24 του ν. 5162/2024 (Α΄198).</w:t>
      </w:r>
    </w:p>
    <w:p>
      <w:pPr>
        <w:spacing w:before="240" w:after="240"/>
        <w:rPr>
          <w:lang w:val="el" w:eastAsia="el"/>
        </w:rPr>
      </w:pPr>
      <w:r>
        <w:rPr>
          <w:u w:val="single"/>
          <w:lang w:val="el" w:eastAsia="el"/>
        </w:rPr>
        <w:t xml:space="preserve">5. </w:t>
      </w:r>
      <w:r>
        <w:rPr>
          <w:b/>
          <w:bCs/>
          <w:u w:val="single"/>
          <w:lang w:val="el" w:eastAsia="el"/>
        </w:rPr>
        <w:t>Την από 24/12/2024 εισήγηση του Διοικητή της ΑΑΔΕ.</w:t>
      </w:r>
    </w:p>
    <w:p>
      <w:pPr>
        <w:spacing w:before="240" w:after="240"/>
        <w:rPr>
          <w:lang w:val="el" w:eastAsia="el"/>
        </w:rPr>
      </w:pPr>
      <w:r>
        <w:rPr>
          <w:u w:val="single"/>
          <w:lang w:val="el" w:eastAsia="el"/>
        </w:rPr>
        <w:t xml:space="preserve">6.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spacing w:before="240" w:after="240"/>
        <w:rPr>
          <w:lang w:val="el" w:eastAsia="el"/>
        </w:rPr>
      </w:pPr>
      <w:r>
        <w:rPr>
          <w:b/>
          <w:bCs/>
          <w:u w:val="single"/>
          <w:lang w:val="el" w:eastAsia="el"/>
        </w:rPr>
        <w:t>Τροποποιούμε την υπό στοιχεία Α.1217/2023 Κοινή Απόφαση του Υφυπουργού Εθνικής Οικονομίας και Οικονομικών και του Υπουργού Περιβάλλοντος και Ενέργειας, ως εξής:</w:t>
      </w:r>
    </w:p>
    <w:p>
      <w:pPr>
        <w:pStyle w:val="Heading6"/>
        <w:spacing w:before="240" w:after="240"/>
        <w:rPr>
          <w:lang w:val="el" w:eastAsia="el"/>
        </w:rPr>
      </w:pPr>
      <w:r>
        <w:rPr>
          <w:rStyle w:val="article-num"/>
          <w:b/>
          <w:bCs/>
          <w:u w:val="single"/>
          <w:lang w:val="el" w:eastAsia="el"/>
        </w:rPr>
        <w:t>Άρθρο 1</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παράγραφοι 1 και 2 του άρθρου 1 αντικαθίστανται ως εξής:</w:t>
      </w:r>
    </w:p>
    <w:p>
      <w:pPr>
        <w:spacing w:before="240" w:after="240"/>
        <w:rPr>
          <w:lang w:val="el" w:eastAsia="el"/>
        </w:rPr>
      </w:pPr>
      <w:r>
        <w:rPr>
          <w:b/>
          <w:bCs/>
          <w:u w:val="single"/>
          <w:lang w:val="el" w:eastAsia="el"/>
        </w:rPr>
        <w:t>«1. Επιβάλλεται, υπέρ του Δημοσίου, τέλος ανθεκτικότητας στην κλιματική κρίση.</w:t>
      </w:r>
    </w:p>
    <w:p>
      <w:pPr>
        <w:spacing w:before="240" w:after="240"/>
        <w:rPr>
          <w:lang w:val="el" w:eastAsia="el"/>
        </w:rPr>
      </w:pPr>
      <w:r>
        <w:rPr>
          <w:b/>
          <w:bCs/>
          <w:u w:val="single"/>
          <w:lang w:val="el" w:eastAsia="el"/>
        </w:rPr>
        <w:t>1Α. Το τέλος ανθεκτικότητας στην κλιματική κρίση επιβάλλεται ανά ημερήσια χρήση και ανά δωμάτιο ή διαμέρισμα, κατά τους μήνες Απρίλιο έως Οκτώβριο, ως εξής:</w:t>
      </w:r>
    </w:p>
    <w:p>
      <w:pPr>
        <w:spacing w:before="240" w:after="240"/>
        <w:rPr>
          <w:lang w:val="el" w:eastAsia="el"/>
        </w:rPr>
      </w:pPr>
      <w:r>
        <w:rPr>
          <w:b/>
          <w:bCs/>
          <w:u w:val="single"/>
          <w:lang w:val="el" w:eastAsia="el"/>
        </w:rPr>
        <w:t>α. Για κύρια ξενοδοχειακά καταλύματα της υποπερ. αα) της περ. α) της παρ. 2 του άρθρου 1 του ν. 4276/2014 (Α’ 155):</w:t>
      </w:r>
    </w:p>
    <w:p>
      <w:pPr>
        <w:spacing w:before="240" w:after="240"/>
        <w:rPr>
          <w:lang w:val="el" w:eastAsia="el"/>
        </w:rPr>
      </w:pPr>
      <w:r>
        <w:rPr>
          <w:b/>
          <w:bCs/>
          <w:u w:val="single"/>
          <w:lang w:val="el" w:eastAsia="el"/>
        </w:rPr>
        <w:t>αα) 1-2 αστέρων, δύο (2,00) ευρώ,</w:t>
      </w:r>
    </w:p>
    <w:p>
      <w:pPr>
        <w:spacing w:before="240" w:after="240"/>
        <w:rPr>
          <w:lang w:val="el" w:eastAsia="el"/>
        </w:rPr>
      </w:pPr>
      <w:r>
        <w:rPr>
          <w:b/>
          <w:bCs/>
          <w:u w:val="single"/>
          <w:lang w:val="el" w:eastAsia="el"/>
        </w:rPr>
        <w:t>αβ) 3 αστέρων, πέντε (5,00) ευρώ,</w:t>
      </w:r>
    </w:p>
    <w:p>
      <w:pPr>
        <w:spacing w:before="240" w:after="240"/>
        <w:rPr>
          <w:lang w:val="el" w:eastAsia="el"/>
        </w:rPr>
      </w:pPr>
      <w:r>
        <w:rPr>
          <w:b/>
          <w:bCs/>
          <w:u w:val="single"/>
          <w:lang w:val="el" w:eastAsia="el"/>
        </w:rPr>
        <w:t>αγ) 4 αστέρων, δέκα (10,00) ευρώ,</w:t>
      </w:r>
    </w:p>
    <w:p>
      <w:pPr>
        <w:spacing w:before="240" w:after="240"/>
        <w:rPr>
          <w:lang w:val="el" w:eastAsia="el"/>
        </w:rPr>
      </w:pPr>
      <w:r>
        <w:rPr>
          <w:b/>
          <w:bCs/>
          <w:u w:val="single"/>
          <w:lang w:val="el" w:eastAsia="el"/>
        </w:rPr>
        <w:t>αδ) 5 αστέρων, δεκαπέντε (15,00) ευρώ,</w:t>
      </w:r>
    </w:p>
    <w:p>
      <w:pPr>
        <w:spacing w:before="240" w:after="240"/>
        <w:rPr>
          <w:lang w:val="el" w:eastAsia="el"/>
        </w:rPr>
      </w:pPr>
      <w:r>
        <w:rPr>
          <w:b/>
          <w:bCs/>
          <w:u w:val="single"/>
          <w:lang w:val="el" w:eastAsia="el"/>
        </w:rPr>
        <w:t>β. σε ενοικιαζόμενα επιπλωμένα δωμάτια - διαμερίσματα της υποπερ. γγ) της περ. β) της παρ. 2 του άρθρου 1 του ν. 4276/2014, δύο (2,00) ευρώ,</w:t>
      </w:r>
    </w:p>
    <w:p>
      <w:pPr>
        <w:spacing w:before="240" w:after="240"/>
        <w:rPr>
          <w:lang w:val="el" w:eastAsia="el"/>
        </w:rPr>
      </w:pPr>
      <w:r>
        <w:rPr>
          <w:b/>
          <w:bCs/>
          <w:u w:val="single"/>
          <w:lang w:val="el" w:eastAsia="el"/>
        </w:rPr>
        <w:t>γ. σε ακίνητα που διατίθενται μέσω βραχυχρόνιας μίσθωσης του άρθρου 111 του ν. 4446/2016 (Α’ 240) και του άρθρου 39Α του Κώδικα Φορολογίας Εισοδήματος (Κ.Φ.Ε., ν. 4172/2013, Α’ 167), οκτώ (8,00) ευρώ.</w:t>
      </w:r>
    </w:p>
    <w:p>
      <w:pPr>
        <w:spacing w:before="240" w:after="240"/>
        <w:rPr>
          <w:lang w:val="el" w:eastAsia="el"/>
        </w:rPr>
      </w:pPr>
      <w:r>
        <w:rPr>
          <w:b/>
          <w:bCs/>
          <w:u w:val="single"/>
          <w:lang w:val="el" w:eastAsia="el"/>
        </w:rPr>
        <w:t>Αν τα ακίνητα που διατίθενται μέσω βραχυχρόνιας μίσθωσης είναι μονοκατοικίες άνω των ογδόντα (80) τ.μ., επιβάλλεται τέλος ανθεκτικότητας δεκαπέντε (15,00) ευρώ,</w:t>
      </w:r>
    </w:p>
    <w:p>
      <w:pPr>
        <w:spacing w:before="240" w:after="240"/>
        <w:rPr>
          <w:lang w:val="el" w:eastAsia="el"/>
        </w:rPr>
      </w:pPr>
      <w:r>
        <w:rPr>
          <w:b/>
          <w:bCs/>
          <w:u w:val="single"/>
          <w:lang w:val="el" w:eastAsia="el"/>
        </w:rPr>
        <w:t>δ. σε αυτοεξυπηρετούμενα καταλύματα - τουριστικές επιπλωμένες επαύλεις (βίλες) της υποπερ. αα) της περ. β) της παρ. 2 του άρθρου 1 του ν. 4276/2014, δεκαπέντε (15,00) ευρώ,</w:t>
      </w:r>
    </w:p>
    <w:p>
      <w:pPr>
        <w:spacing w:before="240" w:after="240"/>
        <w:rPr>
          <w:lang w:val="el" w:eastAsia="el"/>
        </w:rPr>
      </w:pPr>
      <w:r>
        <w:rPr>
          <w:b/>
          <w:bCs/>
          <w:u w:val="single"/>
          <w:lang w:val="el" w:eastAsia="el"/>
        </w:rPr>
        <w:t>ε. σε αυτοεξυπηρετούμενα καταλύματα – τουριστικές επιπλωμένες κατοικίες της υποπερ. ββ) της περ. β) της παρ. 2 του άρθρου 1 του ν. 4276/2014:</w:t>
      </w:r>
    </w:p>
    <w:p>
      <w:pPr>
        <w:spacing w:before="240" w:after="240"/>
        <w:rPr>
          <w:lang w:val="el" w:eastAsia="el"/>
        </w:rPr>
      </w:pPr>
      <w:r>
        <w:rPr>
          <w:b/>
          <w:bCs/>
          <w:u w:val="single"/>
          <w:lang w:val="el" w:eastAsia="el"/>
        </w:rPr>
        <w:t>εα) οκτώ (8,00) ευρώ, εάν η επιφάνειά τους είναι μικρότερη των ογδόντα (80) τ.μ. και</w:t>
      </w:r>
    </w:p>
    <w:p>
      <w:pPr>
        <w:spacing w:before="240" w:after="240"/>
        <w:rPr>
          <w:lang w:val="el" w:eastAsia="el"/>
        </w:rPr>
      </w:pPr>
      <w:r>
        <w:rPr>
          <w:b/>
          <w:bCs/>
          <w:u w:val="single"/>
          <w:lang w:val="el" w:eastAsia="el"/>
        </w:rPr>
        <w:t>εβ) δεκαπέντε (15,00) ευρώ, εάν η επιφάνειά τους είναι από ογδόντα (80) τ.μ. και άνω.</w:t>
      </w:r>
    </w:p>
    <w:p>
      <w:pPr>
        <w:spacing w:before="240" w:after="240"/>
        <w:rPr>
          <w:lang w:val="el" w:eastAsia="el"/>
        </w:rPr>
      </w:pPr>
      <w:r>
        <w:rPr>
          <w:b/>
          <w:bCs/>
          <w:u w:val="single"/>
          <w:lang w:val="el" w:eastAsia="el"/>
        </w:rPr>
        <w:t>1Β. Το τέλος ανθεκτικότητας στην κλιματική κρίση επιβάλλεται ανά ημερήσια χρήση και ανά δωμάτιο ή διαμέρισμα, κατά τους μήνες Νοέμβριο έως Μάρτιο, ως εξής:</w:t>
      </w:r>
    </w:p>
    <w:p>
      <w:pPr>
        <w:spacing w:before="240" w:after="240"/>
        <w:rPr>
          <w:lang w:val="el" w:eastAsia="el"/>
        </w:rPr>
      </w:pPr>
      <w:r>
        <w:rPr>
          <w:b/>
          <w:bCs/>
          <w:u w:val="single"/>
          <w:lang w:val="el" w:eastAsia="el"/>
        </w:rPr>
        <w:t>α. Για κύρια ξενοδοχειακά καταλύματα της υποπερ. αα) της περ. α) της παρ. 2 του άρθρου 1 του ν. 4276/2014:</w:t>
      </w:r>
    </w:p>
    <w:p>
      <w:pPr>
        <w:spacing w:before="240" w:after="240"/>
        <w:rPr>
          <w:lang w:val="el" w:eastAsia="el"/>
        </w:rPr>
      </w:pPr>
      <w:r>
        <w:rPr>
          <w:b/>
          <w:bCs/>
          <w:u w:val="single"/>
          <w:lang w:val="el" w:eastAsia="el"/>
        </w:rPr>
        <w:t>αα) 1-2 αστέρων, πενήντα λεπτών (0,50) ευρώ,</w:t>
      </w:r>
    </w:p>
    <w:p>
      <w:pPr>
        <w:spacing w:before="240" w:after="240"/>
        <w:rPr>
          <w:lang w:val="el" w:eastAsia="el"/>
        </w:rPr>
      </w:pPr>
      <w:r>
        <w:rPr>
          <w:b/>
          <w:bCs/>
          <w:u w:val="single"/>
          <w:lang w:val="el" w:eastAsia="el"/>
        </w:rPr>
        <w:t>αβ) 3 αστέρων, ενάμιση (1,50) ευρώ,</w:t>
      </w:r>
    </w:p>
    <w:p>
      <w:pPr>
        <w:spacing w:before="240" w:after="240"/>
        <w:rPr>
          <w:lang w:val="el" w:eastAsia="el"/>
        </w:rPr>
      </w:pPr>
      <w:r>
        <w:rPr>
          <w:b/>
          <w:bCs/>
          <w:u w:val="single"/>
          <w:lang w:val="el" w:eastAsia="el"/>
        </w:rPr>
        <w:t>αγ) 4 αστέρων, τριών (3,00) ευρώ,</w:t>
      </w:r>
    </w:p>
    <w:p>
      <w:pPr>
        <w:spacing w:before="240" w:after="240"/>
        <w:rPr>
          <w:lang w:val="el" w:eastAsia="el"/>
        </w:rPr>
      </w:pPr>
      <w:r>
        <w:rPr>
          <w:b/>
          <w:bCs/>
          <w:u w:val="single"/>
          <w:lang w:val="el" w:eastAsia="el"/>
        </w:rPr>
        <w:t>αδ) 5 αστέρων, τεσσάρων (4,00) ευρώ,</w:t>
      </w:r>
    </w:p>
    <w:p>
      <w:pPr>
        <w:spacing w:before="240" w:after="240"/>
        <w:rPr>
          <w:lang w:val="el" w:eastAsia="el"/>
        </w:rPr>
      </w:pPr>
      <w:r>
        <w:rPr>
          <w:b/>
          <w:bCs/>
          <w:u w:val="single"/>
          <w:lang w:val="el" w:eastAsia="el"/>
        </w:rPr>
        <w:t>β. σε ενοικιαζόμενα επιπλωμένα δωμάτια - διαμερίσματα της υποπερ. γγ) της περ. β) της παρ. 2 του άρθρου 1 του ν. 4276/2014, πενήντα λεπτών (0,50) ευρώ,</w:t>
      </w:r>
    </w:p>
    <w:p>
      <w:pPr>
        <w:spacing w:before="240" w:after="240"/>
        <w:rPr>
          <w:lang w:val="el" w:eastAsia="el"/>
        </w:rPr>
      </w:pPr>
      <w:r>
        <w:rPr>
          <w:b/>
          <w:bCs/>
          <w:u w:val="single"/>
          <w:lang w:val="el" w:eastAsia="el"/>
        </w:rPr>
        <w:t>γ. σε ακίνητα που διατίθενται μέσω βραχυχρόνιας μίσθωσης του άρθρου 111 του ν. 4446/2016 και του άρθρου 39Α του Κώδικα Φορολογίας Εισοδήματος, δύο (2,00) ευρώ.</w:t>
      </w:r>
    </w:p>
    <w:p>
      <w:pPr>
        <w:spacing w:before="240" w:after="240"/>
        <w:rPr>
          <w:lang w:val="el" w:eastAsia="el"/>
        </w:rPr>
      </w:pPr>
      <w:r>
        <w:rPr>
          <w:b/>
          <w:bCs/>
          <w:u w:val="single"/>
          <w:lang w:val="el" w:eastAsia="el"/>
        </w:rPr>
        <w:t>Αν τα ακίνητα που διατίθενται μέσω βραχυχρόνιας μίσθωσης είναι μονοκατοικίες άνω των ογδόντα (80) τ.μ., επιβάλλεται τέλος ανθεκτικότητας τεσσάρων (4,00) ευρώ,</w:t>
      </w:r>
    </w:p>
    <w:p>
      <w:pPr>
        <w:spacing w:before="240" w:after="240"/>
        <w:rPr>
          <w:lang w:val="el" w:eastAsia="el"/>
        </w:rPr>
      </w:pPr>
      <w:r>
        <w:rPr>
          <w:b/>
          <w:bCs/>
          <w:u w:val="single"/>
          <w:lang w:val="el" w:eastAsia="el"/>
        </w:rPr>
        <w:t>δ. σε αυτοεξυπηρετούμενα καταλύματα – τουριστικές επιπλωμένες επαύλεις (βίλες) της υποπερ. αα) της περ. β) της παρ. 2 του άρθρου 1 του ν. 4276/2014, τεσσάρων (4,00) ευρώ,</w:t>
      </w:r>
    </w:p>
    <w:p>
      <w:pPr>
        <w:spacing w:before="240" w:after="240"/>
        <w:rPr>
          <w:lang w:val="el" w:eastAsia="el"/>
        </w:rPr>
      </w:pPr>
      <w:r>
        <w:rPr>
          <w:b/>
          <w:bCs/>
          <w:u w:val="single"/>
          <w:lang w:val="el" w:eastAsia="el"/>
        </w:rPr>
        <w:t>ε. σε αυτοεξυπηρετούμενα καταλύματα – τουριστικές επιπλωμένες κατοικίες της υποπερ. ββ) της περ. β) της παρ. 2 του άρθρου 1 του ν. 4276/2014:</w:t>
      </w:r>
    </w:p>
    <w:p>
      <w:pPr>
        <w:spacing w:before="240" w:after="240"/>
        <w:rPr>
          <w:lang w:val="el" w:eastAsia="el"/>
        </w:rPr>
      </w:pPr>
      <w:r>
        <w:rPr>
          <w:b/>
          <w:bCs/>
          <w:u w:val="single"/>
          <w:lang w:val="el" w:eastAsia="el"/>
        </w:rPr>
        <w:t>εα) δύο (2) ευρώ, εάν η επιφάνειά τους είναι μικρότερη των ογδόντα (80) τ.μ. και</w:t>
      </w:r>
    </w:p>
    <w:p>
      <w:pPr>
        <w:spacing w:before="240" w:after="240"/>
        <w:rPr>
          <w:lang w:val="el" w:eastAsia="el"/>
        </w:rPr>
      </w:pPr>
      <w:r>
        <w:rPr>
          <w:b/>
          <w:bCs/>
          <w:u w:val="single"/>
          <w:lang w:val="el" w:eastAsia="el"/>
        </w:rPr>
        <w:t>εβ) τέσσερα (4) ευρώ, εάν η επιφάνειά τους είναι από ογδόντα (80) τ.μ. και άνω.</w:t>
      </w:r>
    </w:p>
    <w:p>
      <w:pPr>
        <w:spacing w:before="240" w:after="240"/>
        <w:rPr>
          <w:lang w:val="el" w:eastAsia="el"/>
        </w:rPr>
      </w:pPr>
      <w:r>
        <w:rPr>
          <w:u w:val="single"/>
          <w:lang w:val="el" w:eastAsia="el"/>
        </w:rPr>
        <w:t xml:space="preserve">2. </w:t>
      </w:r>
      <w:r>
        <w:rPr>
          <w:b/>
          <w:bCs/>
          <w:u w:val="single"/>
          <w:lang w:val="el" w:eastAsia="el"/>
        </w:rPr>
        <w:t xml:space="preserve">Το τέλος ανθεκτικότητας στην κλιματική κρίση βαρύνει τον διαμένοντα, που έκανε χρήση του δωματίου ή του διαμερίσματος κατά τις διακρίσεις της παρ.1, επιβάλλεται μετά τη διαμονή του στο κατάλυμα και πριν την αναχώρησή του από αυτό, με την έκδοση ειδικού στοιχείου – </w:t>
      </w:r>
    </w:p>
    <w:p>
      <w:pPr>
        <w:spacing w:before="240" w:after="240"/>
        <w:rPr>
          <w:lang w:val="el" w:eastAsia="el"/>
        </w:rPr>
      </w:pPr>
      <w:r>
        <w:rPr>
          <w:b/>
          <w:bCs/>
          <w:u w:val="single"/>
          <w:lang w:val="el" w:eastAsia="el"/>
        </w:rPr>
        <w:t>απόδειξης είσπραξης τέλουςανθεκτικότητας στην κλιματική κρίση, από τις επιχειρήσεις των παρ. 1Α και 1Β και τους ιδιώτες της περ. γ) των παρ. 1Α και 1Β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Ειδικά για διαμονές που πραγματοποιούνται σε περιόδους που καταλαμβάνουν μήνες, κατά τους οποίους ισχύει διαφορετικό ύψος τέλους, το ειδικό στοιχείο- απόδειξη είσπραξης τέλους ανθεκτικότητας στην κλιματική κρίση εκδίδεται ανά μήνα και όχι κατά την αναχώρηση του διαμένοντα.»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Αντικαθίσταται το υπόδειγμα της δήλωσης απόδοσης του τέλους ανθεκτικότητας στην κλιματική κρίση, όπως προσαρτάται στην παρούσα.</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παρούσα ισχύει από την 1</w:t>
      </w:r>
      <w:r>
        <w:rPr>
          <w:b/>
          <w:bCs/>
          <w:sz w:val="30"/>
          <w:szCs w:val="30"/>
          <w:u w:val="single"/>
          <w:vertAlign w:val="superscript"/>
          <w:lang w:val="el" w:eastAsia="el"/>
        </w:rPr>
        <w:t>η</w:t>
      </w:r>
      <w:r>
        <w:rPr>
          <w:b/>
          <w:bCs/>
          <w:u w:val="single"/>
          <w:lang w:val="el" w:eastAsia="el"/>
        </w:rPr>
        <w:t xml:space="preserve"> Ιανουαρίου 2025 και καταλαμβάνει «ειδικά στοιχεία – αποδείξεις είσπραξης τέλους ανθεκτικότητας στην κλιματική κρίση» που εκδίδονται από την 1/1/2025 και μετά. Ειδικά για τα καταλύματα της περ. ε των παρ. 1Α και 1Β του άρθρου 53 του ν.4389/2016 όπως τροποποιήθηκε με το άρθρο 24 του ν.5162/2024, το «ειδικό στοιχείο – απόδειξη είσπραξης τέλους ανθεκτικότητας στην κλιματική κρίση» καταλαμβάνει διαμονές από την 1/1/2025 και εφεξής.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Από την έναρξη ισχύος της παρούσας παύει να ισχύει η παράγραφος 10 του άρθρου 1 της Α. 1217/2023.</w:t>
      </w:r>
    </w:p>
    <w:p>
      <w:pPr>
        <w:spacing w:before="240" w:after="240"/>
        <w:rPr>
          <w:lang w:val="el" w:eastAsia="el"/>
        </w:rPr>
      </w:pP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w:t>
      </w:r>
    </w:p>
    <w:p>
      <w:pPr>
        <w:spacing w:before="240" w:after="240"/>
        <w:rPr>
          <w:lang w:val="el" w:eastAsia="el"/>
        </w:rPr>
      </w:pPr>
      <w:r>
        <w:rPr>
          <w:b/>
          <w:bCs/>
          <w:u w:val="single"/>
          <w:lang w:val="el" w:eastAsia="el"/>
        </w:rPr>
        <w:t>ΚΑΙ ΟΙΚΟΝΟΜΙΚΩΝ</w:t>
      </w:r>
    </w:p>
    <w:p>
      <w:pPr>
        <w:spacing w:before="240" w:after="240"/>
        <w:rPr>
          <w:lang w:val="el" w:eastAsia="el"/>
        </w:rPr>
      </w:pPr>
      <w:r>
        <w:rPr>
          <w:b/>
          <w:bCs/>
          <w:u w:val="single"/>
          <w:lang w:val="el" w:eastAsia="el"/>
        </w:rPr>
        <w:t>ΧΡΙΣΤΟΣ ΔΗΜΑΣ</w:t>
      </w:r>
    </w:p>
    <w:p>
      <w:pPr>
        <w:spacing w:before="240" w:after="240"/>
        <w:rPr>
          <w:lang w:val="el" w:eastAsia="el"/>
        </w:rPr>
      </w:pPr>
      <w:r>
        <w:rPr>
          <w:b/>
          <w:bCs/>
          <w:u w:val="single"/>
          <w:lang w:val="el" w:eastAsia="el"/>
        </w:rPr>
        <w:t>ΑΠΟΔΕΚΤΕΣ ΓΙΑ ΚΟΙΝΟΠΟΙΗΣΗ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Υφυπουργού Εθνικής Οικονομίας και Οικονομικών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Υπουργού Τουρισμού</w:t>
      </w:r>
    </w:p>
    <w:p>
      <w:pPr>
        <w:spacing w:before="240" w:after="240"/>
        <w:rPr>
          <w:lang w:val="el" w:eastAsia="el"/>
        </w:rPr>
      </w:pPr>
      <w:r>
        <w:rPr>
          <w:b/>
          <w:bCs/>
          <w:u w:val="single"/>
          <w:lang w:val="el" w:eastAsia="el"/>
        </w:rPr>
        <w:t>Γενική Δ/νση Σώματος Δίωξης Οικονομικού Εγκλήματος (Σ.Δ.Ο.Ε.)</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Όλες τις Περιφέρειες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Εθνικό Τυπογραφείο για δημοσίευση σε ΦΕΚ</w:t>
      </w:r>
    </w:p>
    <w:p>
      <w:pPr>
        <w:spacing w:before="240" w:after="240"/>
        <w:rPr>
          <w:lang w:val="el" w:eastAsia="el"/>
        </w:rPr>
      </w:pPr>
      <w:r>
        <w:rPr>
          <w:b/>
          <w:bCs/>
          <w:u w:val="single"/>
          <w:lang w:val="el" w:eastAsia="el"/>
        </w:rPr>
        <w:t>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Γραφείο Διοικητή Α.Α.Δ.Ε.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Γραφείο Γενικού Δ/ντη Φορολογίας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Γραφείο Γενικού Δ/ντη Φορολογικών Λειτουργιών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Γραφείο Γενικού Δ/ντη Ηλεκτρονικής Διακυβέρνησης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Δ/νση Εφαρμογής Άμεσης Φορολογίας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Δ/νση Ελέγχων</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Δ/νση Νομικής Υποστήριξης</w:t>
      </w:r>
    </w:p>
    <w:p>
      <w:pPr>
        <w:pStyle w:val="MainText"/>
        <w:spacing w:before="120" w:after="0"/>
        <w:rPr>
          <w:lang w:val="el" w:eastAsia="el"/>
        </w:rPr>
      </w:pPr>
      <w:r>
        <w:rPr>
          <w:b/>
          <w:bCs/>
          <w:u w:val="single"/>
          <w:lang w:val="el" w:eastAsia="el"/>
        </w:rPr>
        <w:t>8.</w:t>
      </w:r>
      <w:r>
        <w:rPr>
          <w:u w:val="single"/>
          <w:lang w:val="el" w:eastAsia="el"/>
        </w:rPr>
        <w:t xml:space="preserve"> </w:t>
      </w:r>
      <w:r>
        <w:rPr>
          <w:b/>
          <w:bCs/>
          <w:u w:val="single"/>
          <w:lang w:val="el" w:eastAsia="el"/>
        </w:rPr>
        <w:t>Γενική Δ/νση Φορολογικής Πολιτικής</w:t>
      </w:r>
    </w:p>
    <w:p>
      <w:pPr>
        <w:pStyle w:val="MainText"/>
        <w:spacing w:before="120" w:after="0"/>
        <w:rPr>
          <w:lang w:val="el" w:eastAsia="el"/>
        </w:rPr>
      </w:pPr>
      <w:r>
        <w:rPr>
          <w:b/>
          <w:bCs/>
          <w:u w:val="single"/>
          <w:lang w:val="el" w:eastAsia="el"/>
        </w:rPr>
        <w:t>9.</w:t>
      </w:r>
      <w:r>
        <w:rPr>
          <w:u w:val="single"/>
          <w:lang w:val="el" w:eastAsia="el"/>
        </w:rPr>
        <w:t xml:space="preserve"> </w:t>
      </w:r>
      <w:r>
        <w:rPr>
          <w:b/>
          <w:bCs/>
          <w:u w:val="single"/>
          <w:lang w:val="el" w:eastAsia="el"/>
        </w:rPr>
        <w:t>Διεύθυνση Επιχειρησιακών Διαδικασιών</w:t>
      </w:r>
    </w:p>
    <w:p>
      <w:pPr>
        <w:pStyle w:val="MainText"/>
        <w:spacing w:before="120" w:after="0"/>
        <w:rPr>
          <w:lang w:val="el" w:eastAsia="el"/>
        </w:rPr>
      </w:pPr>
      <w:r>
        <w:rPr>
          <w:b/>
          <w:bCs/>
          <w:u w:val="single"/>
          <w:lang w:val="el" w:eastAsia="el"/>
        </w:rPr>
        <w:t>10.</w:t>
      </w:r>
      <w:r>
        <w:rPr>
          <w:u w:val="single"/>
          <w:lang w:val="el" w:eastAsia="el"/>
        </w:rPr>
        <w:t xml:space="preserve"> </w:t>
      </w:r>
      <w:r>
        <w:rPr>
          <w:b/>
          <w:bCs/>
          <w:u w:val="single"/>
          <w:lang w:val="el" w:eastAsia="el"/>
        </w:rPr>
        <w:t>Διεύθυνση Ανάπτυξης Φορολογικών Εφαρμογών</w:t>
      </w:r>
    </w:p>
    <w:p>
      <w:pPr>
        <w:spacing w:before="240" w:after="240"/>
        <w:rPr>
          <w:lang w:val="el" w:eastAsia="el"/>
        </w:rPr>
      </w:pPr>
      <w:r>
        <w:rPr>
          <w:b/>
          <w:bCs/>
          <w:u w:val="single"/>
          <w:lang w:val="el" w:eastAsia="el"/>
        </w:rPr>
        <w:t>ΦΟΡΟΛΟΓΙΚΟ ΕΤΟΣ..………</w:t>
      </w:r>
    </w:p>
    <w:p>
      <w:pPr>
        <w:spacing w:before="240" w:after="240"/>
        <w:rPr>
          <w:lang w:val="el" w:eastAsia="el"/>
        </w:rPr>
      </w:pPr>
      <w:r>
        <w:rPr>
          <w:b/>
          <w:bCs/>
          <w:u w:val="single"/>
          <w:lang w:val="el" w:eastAsia="el"/>
        </w:rPr>
        <w:t>ΜΗΝΑΣ …………………………</w:t>
      </w:r>
    </w:p>
    <w:p>
      <w:pPr>
        <w:spacing w:before="240" w:after="240"/>
        <w:rPr>
          <w:lang w:val="el" w:eastAsia="el"/>
        </w:rPr>
      </w:pPr>
      <w:r>
        <w:rPr>
          <w:b/>
          <w:bCs/>
          <w:u w:val="single"/>
          <w:lang w:val="el" w:eastAsia="el"/>
        </w:rPr>
        <w:t>ΑΡ. ΦΑΚ ………….…………….</w:t>
      </w:r>
    </w:p>
    <w:p>
      <w:pPr>
        <w:spacing w:before="240" w:after="240"/>
        <w:rPr>
          <w:lang w:val="el" w:eastAsia="el"/>
        </w:rPr>
      </w:pPr>
      <w:r>
        <w:rPr>
          <w:b/>
          <w:bCs/>
          <w:u w:val="single"/>
          <w:lang w:val="el" w:eastAsia="el"/>
        </w:rPr>
        <w:t>Α.Φ.Μ. …………………..………</w:t>
      </w:r>
    </w:p>
    <w:p>
      <w:pPr>
        <w:spacing w:before="240" w:after="240"/>
        <w:rPr>
          <w:lang w:val="el" w:eastAsia="el"/>
        </w:rPr>
      </w:pPr>
      <w:r>
        <w:rPr>
          <w:b/>
          <w:bCs/>
          <w:u w:val="single"/>
          <w:lang w:val="el" w:eastAsia="el"/>
        </w:rPr>
        <w:t>ΔΗΛΩΣΗ ΑΠΟΔΟΣΗΣ ΤΕΛΟΥΣ ΑΝΘΕΚΤΙΚΟΤΗΤΑΣ ΣΤΗΝ ΚΛΙΜΑΤΙΚΗ ΚΡΙΣΗ</w:t>
      </w:r>
    </w:p>
    <w:p>
      <w:pPr>
        <w:pStyle w:val="Heading6"/>
        <w:spacing w:before="240" w:after="240"/>
        <w:rPr>
          <w:lang w:val="el" w:eastAsia="el"/>
        </w:rPr>
      </w:pPr>
      <w:r>
        <w:rPr>
          <w:b/>
          <w:bCs/>
          <w:u w:val="single"/>
          <w:lang w:val="el" w:eastAsia="el"/>
        </w:rPr>
        <w:t xml:space="preserve">Άρθρο 53 </w:t>
      </w:r>
    </w:p>
    <w:p>
      <w:pPr>
        <w:pStyle w:val="Heading6"/>
        <w:spacing w:before="240" w:after="240"/>
        <w:rPr>
          <w:lang w:val="el" w:eastAsia="el"/>
        </w:rPr>
      </w:pPr>
      <w:r>
        <w:rPr>
          <w:b/>
          <w:bCs/>
          <w:u w:val="single"/>
          <w:lang w:val="el" w:eastAsia="el"/>
        </w:rPr>
        <w:t>του Ν. 4389/2016 (Α' 94),</w:t>
      </w:r>
    </w:p>
    <w:p>
      <w:pPr>
        <w:spacing w:before="240" w:after="240"/>
        <w:rPr>
          <w:lang w:val="el" w:eastAsia="el"/>
        </w:rPr>
      </w:pPr>
      <w:r>
        <w:rPr>
          <w:b/>
          <w:bCs/>
          <w:u w:val="single"/>
          <w:lang w:val="el" w:eastAsia="el"/>
        </w:rPr>
        <w:t>(όπως ισχύει μετά τη δημοσίευση του άρθρου 30 του Ν.5073/2023 (Α΄204)</w:t>
      </w:r>
    </w:p>
    <w:p>
      <w:pPr>
        <w:spacing w:before="240" w:after="240"/>
        <w:rPr>
          <w:lang w:val="el" w:eastAsia="el"/>
        </w:rPr>
      </w:pPr>
      <w:r>
        <w:rPr>
          <w:b/>
          <w:bCs/>
          <w:u w:val="single"/>
          <w:lang w:val="el" w:eastAsia="el"/>
        </w:rPr>
        <w:t>και του άρθρου 24 του Ν.5162/2024 ( Α΄198)</w:t>
      </w:r>
    </w:p>
    <w:p>
      <w:pPr>
        <w:spacing w:before="240" w:after="240"/>
        <w:rPr>
          <w:lang w:val="el" w:eastAsia="el"/>
        </w:rPr>
      </w:pPr>
      <w:r>
        <w:rPr>
          <w:b/>
          <w:bCs/>
          <w:u w:val="single"/>
          <w:lang w:val="el" w:eastAsia="el"/>
        </w:rPr>
        <w:t>ΣΤΟΙΧΕΙΑ ΥΠΟΧΡΕΟΥ</w:t>
      </w:r>
    </w:p>
    <w:p>
      <w:pPr>
        <w:spacing w:before="240" w:after="240"/>
        <w:rPr>
          <w:lang w:val="el" w:eastAsia="el"/>
        </w:rPr>
      </w:pPr>
      <w:r>
        <w:rPr>
          <w:b/>
          <w:bCs/>
          <w:u w:val="single"/>
          <w:lang w:val="el" w:eastAsia="el"/>
        </w:rPr>
        <w:t>Ονοματεπώνυμο ή επωνυμία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Μορφή επιχείρησης (ΟΕ, ΕΕ, ΕΠΕ, ΑΕ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Έδρα (Πόλη): Οδός: Αριθ.: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ΤΟΥ ΝΟΜΙΜΟΥ ΕΚΠΡΟΣΩΠΟΥ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ή επωνυμία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Δ/νση: ………………………………………… Τηλ.:………………</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14"/>
        <w:gridCol w:w="1321"/>
        <w:gridCol w:w="1321"/>
        <w:gridCol w:w="1719"/>
        <w:gridCol w:w="1321"/>
        <w:gridCol w:w="1266"/>
        <w:gridCol w:w="1082"/>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ΚΥΡΙΑ ΞΕΝΟΔΟΧΕΙΑΚΑ ΚΑΤΑΛΥΜΑΤΑ (υποπερίπτωση αα’ περ. α΄ της παρ. 2 του άρθρου 1 του ν. 4276/2014 (155 Α΄))</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ξενοδοχειακών επιχειρήσεων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Δωματίων: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κλινών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Δωματίων που χρησιμοποιήθηκαν κατά την φορολογική χρήση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 ανά αριθμό αστέρων</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ημερησίων χρήσεων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 ημερησίων χρήσεων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p>
            <w:pPr>
              <w:spacing w:before="240" w:after="240"/>
              <w:rPr>
                <w:b w:val="0"/>
                <w:bCs w:val="0"/>
                <w:i w:val="0"/>
                <w:iCs w:val="0"/>
                <w:smallCaps w:val="0"/>
                <w:color w:val="000000"/>
                <w:lang w:val="el" w:eastAsia="el"/>
              </w:rPr>
            </w:pPr>
            <w:r>
              <w:rPr>
                <w:b/>
                <w:bCs/>
                <w:i w:val="0"/>
                <w:iCs w:val="0"/>
                <w:smallCaps w:val="0"/>
                <w:color w:val="000000"/>
                <w:lang w:val="el" w:eastAsia="el"/>
              </w:rPr>
              <w:t>(2-3)</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απόδοση (4Χ5)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Απρίλιος - Οκτώβριος 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Μάρτιος 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*Αναγράφεται το σύνολο των δωματίων ανεξάρτητα από τον αριθμό των κλινών τους</w:t>
            </w:r>
          </w:p>
          <w:p>
            <w:pPr>
              <w:spacing w:before="240" w:after="240"/>
              <w:rPr>
                <w:b w:val="0"/>
                <w:bCs w:val="0"/>
                <w:i w:val="0"/>
                <w:iCs w:val="0"/>
                <w:smallCaps w:val="0"/>
                <w:color w:val="000000"/>
                <w:lang w:val="el" w:eastAsia="el"/>
              </w:rPr>
            </w:pPr>
            <w:r>
              <w:rPr>
                <w:b/>
                <w:bCs/>
                <w:i w:val="0"/>
                <w:iCs w:val="0"/>
                <w:smallCaps w:val="0"/>
                <w:color w:val="000000"/>
                <w:lang w:val="el" w:eastAsia="el"/>
              </w:rPr>
              <w:t>** Αναγράφεται το σύνολο των κλινών ανεξάρτητα από τον αριθμό δωματίων.</w:t>
            </w:r>
          </w:p>
          <w:p>
            <w:pPr>
              <w:spacing w:before="240"/>
              <w:rPr>
                <w:b w:val="0"/>
                <w:bCs w:val="0"/>
                <w:i w:val="0"/>
                <w:iCs w:val="0"/>
                <w:smallCaps w:val="0"/>
                <w:color w:val="000000"/>
                <w:lang w:val="el" w:eastAsia="el"/>
              </w:rPr>
            </w:pPr>
            <w:r>
              <w:rPr>
                <w:b/>
                <w:bCs/>
                <w:i w:val="0"/>
                <w:iCs w:val="0"/>
                <w:smallCaps w:val="0"/>
                <w:color w:val="000000"/>
                <w:lang w:val="el" w:eastAsia="el"/>
              </w:rPr>
              <w:t>*** &amp; **** Περιλαμβάνονται και οι δωρεάν διαμονές, οι οποίες δεν επιβαρύνονται με TAKK.</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7"/>
        <w:gridCol w:w="1537"/>
        <w:gridCol w:w="2000"/>
        <w:gridCol w:w="1538"/>
        <w:gridCol w:w="1473"/>
        <w:gridCol w:w="1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Β.ΕΝΟΙΚΙΑΖΟΜΕΝΑ ΕΠΙΠΛΩΜΕΝΑ ΔΩΜΑΤΙΑ Η΄ΔΙΑΜΕΡΙΣΜΑΤΑ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(υποπερίπτωση γγ΄περ. β. της παρ. 2 του άρθρου 1 του ν. 4276/2014(155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επιχειρήσεων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Δωματίων-Διαμερισμάτων: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κλινών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Δωματίων-Διαμερισμάτων που χρησιμοποιήθηκαν κατά την φορολογική χρήση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Απρίλιος - Οκτώβριος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Μάρτιος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απόδοση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Χ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454"/>
        <w:gridCol w:w="454"/>
        <w:gridCol w:w="873"/>
        <w:gridCol w:w="873"/>
        <w:gridCol w:w="4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Γ.ΑΚΙΝΗΤΑ ΠΟΥ ΔΙΑΤΙΘΕΝΤΑΙ ΜΕΣΩ ΒΡΑΧΥΧΡΌΝΙΑΣ ΜΙΣΘΩΣΗΣ (άρθρο 111 του ν. 4446/2016 (240 Α΄) και του άρθρου 39Α του ν.4172/2013 (167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επιχειρήσεων*****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Δωματίων-Διαμερισμάτων-κλπ: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κλινών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Δωματίων-Διαμερισμάτων-κλπ που χρησιμοποιήθηκαν κατά την φορολογική χρήση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7"/>
        <w:gridCol w:w="1537"/>
        <w:gridCol w:w="2000"/>
        <w:gridCol w:w="1539"/>
        <w:gridCol w:w="1472"/>
        <w:gridCol w:w="1259"/>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ημερησίων χρήσεων ****</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 ημερησίων χρήσεων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p>
            <w:pPr>
              <w:spacing w:before="240" w:after="240"/>
              <w:rPr>
                <w:b w:val="0"/>
                <w:bCs w:val="0"/>
                <w:i w:val="0"/>
                <w:iCs w:val="0"/>
                <w:smallCaps w:val="0"/>
                <w:color w:val="000000"/>
                <w:lang w:val="el" w:eastAsia="el"/>
              </w:rPr>
            </w:pPr>
            <w:r>
              <w:rPr>
                <w:b/>
                <w:bCs/>
                <w:i w:val="0"/>
                <w:iCs w:val="0"/>
                <w:smallCaps w:val="0"/>
                <w:color w:val="000000"/>
                <w:lang w:val="el" w:eastAsia="el"/>
              </w:rPr>
              <w:t>(1-2)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απόδοση (3 Χ 4)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Απρίλιος - Οκτώβριος 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Μάρτιος 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(Γ1)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5"/>
        <w:gridCol w:w="1345"/>
        <w:gridCol w:w="1750"/>
        <w:gridCol w:w="1166"/>
        <w:gridCol w:w="1347"/>
        <w:gridCol w:w="1288"/>
        <w:gridCol w:w="1103"/>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Γ.2 ΜΟΝΟΚΑΤΟΙΚΙΕΣ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ημερησίων χρήσεων ****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 ημερησίων χρήσεων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p>
            <w:pPr>
              <w:spacing w:before="240" w:after="240"/>
              <w:rPr>
                <w:b w:val="0"/>
                <w:bCs w:val="0"/>
                <w:i w:val="0"/>
                <w:iCs w:val="0"/>
                <w:smallCaps w:val="0"/>
                <w:color w:val="000000"/>
                <w:lang w:val="el" w:eastAsia="el"/>
              </w:rPr>
            </w:pPr>
            <w:r>
              <w:rPr>
                <w:b/>
                <w:bCs/>
                <w:i w:val="0"/>
                <w:iCs w:val="0"/>
                <w:smallCaps w:val="0"/>
                <w:color w:val="000000"/>
                <w:lang w:val="el" w:eastAsia="el"/>
              </w:rPr>
              <w:t>(1-2)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 Μονοκατ 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απόδοση (3 Χ 4)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Απρίλιος - Οκτώβριος 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Μάρτιος 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80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Γ (Γ1+Γ2)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Δ. ΑΥΤΟΕΞΥΠΗΡΕΤΟΥΜΕΝΑ ΚΑΤΑΛΥΜΑΤΑ - </w:t>
      </w:r>
    </w:p>
    <w:p>
      <w:pPr>
        <w:spacing w:before="240" w:after="240"/>
        <w:rPr>
          <w:lang w:val="el" w:eastAsia="el"/>
        </w:rPr>
      </w:pPr>
      <w:r>
        <w:rPr>
          <w:b/>
          <w:bCs/>
          <w:u w:val="single"/>
          <w:lang w:val="el" w:eastAsia="el"/>
        </w:rPr>
        <w:t>ΤΟΥΡΙΣΤΙΚΕΣ ΕΠΙΠΛΩΜΕΝΕΣ ΕΠΑΥΛΕΙΣ (ΒΙΛΕΣ)(υποπερίπτωση αα΄περ. β. της παρ. 2 του άρθρου 1 του ν. 4276/2014(155 Α΄))</w:t>
      </w:r>
    </w:p>
    <w:p>
      <w:pPr>
        <w:spacing w:before="240" w:after="240"/>
        <w:rPr>
          <w:lang w:val="el" w:eastAsia="el"/>
        </w:rPr>
      </w:pPr>
      <w:r>
        <w:rPr>
          <w:b/>
          <w:bCs/>
          <w:u w:val="single"/>
          <w:lang w:val="el" w:eastAsia="el"/>
        </w:rPr>
        <w:t>Πλήθος επιχειρήσεων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Δωματίων-Διαμερισμάτων: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κλινών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καταλυμάτων που χρησιμοποιήθηκαν κατά την φορολογική χρήση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7"/>
        <w:gridCol w:w="1537"/>
        <w:gridCol w:w="2000"/>
        <w:gridCol w:w="1539"/>
        <w:gridCol w:w="1472"/>
        <w:gridCol w:w="12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ημερησίων χρήσεων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Απρίλιος - Οκτώβριος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Μάρτιος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απόδοση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Χ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ΑΥΤΟΕΞΥΠΗΡΕΤΟΥΜΕΝΑ ΚΑΤΑΛΥΜΑΤΑ - ΤΟΥΡΙΣΤΙΚΕΣ ΕΠΙΠΛΩΜΕΝΕΣ ΚΑΤΟΙΚΙΕΣ (υποπερίπτωση ββ΄ της περ. β. της παρ. 2 του άρθρου 1 του ν. 4276/2014 (155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επιχειρήσεων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Δωματίων-Διαμερισμάτων: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διαθέσιμων κλινών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καταλυμάτων που χρησιμοποιήθηκαν κατά την φορολογική χρήση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7"/>
        <w:gridCol w:w="1367"/>
        <w:gridCol w:w="1779"/>
        <w:gridCol w:w="1031"/>
        <w:gridCol w:w="1369"/>
        <w:gridCol w:w="1310"/>
        <w:gridCol w:w="11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ημερησίων χρήσεων ****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Συνολικός αριθμός δωρεάν ημερησίων χρήσεων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φορολογητέων ημερησίων χρήσεων</w:t>
            </w:r>
          </w:p>
          <w:p>
            <w:pPr>
              <w:spacing w:before="240" w:after="240"/>
              <w:rPr>
                <w:b w:val="0"/>
                <w:bCs w:val="0"/>
                <w:i w:val="0"/>
                <w:iCs w:val="0"/>
                <w:smallCaps w:val="0"/>
                <w:color w:val="000000"/>
                <w:lang w:val="el" w:eastAsia="el"/>
              </w:rPr>
            </w:pPr>
            <w:r>
              <w:rPr>
                <w:b/>
                <w:bCs/>
                <w:i w:val="0"/>
                <w:iCs w:val="0"/>
                <w:smallCaps w:val="0"/>
                <w:color w:val="000000"/>
                <w:lang w:val="el" w:eastAsia="el"/>
              </w:rPr>
              <w:t>(1-2)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 Καταλύ</w:t>
            </w:r>
          </w:p>
          <w:p>
            <w:pPr>
              <w:spacing w:before="240"/>
              <w:rPr>
                <w:b w:val="0"/>
                <w:bCs w:val="0"/>
                <w:i w:val="0"/>
                <w:iCs w:val="0"/>
                <w:smallCaps w:val="0"/>
                <w:color w:val="000000"/>
                <w:lang w:val="el" w:eastAsia="el"/>
              </w:rPr>
            </w:pPr>
            <w:r>
              <w:rPr>
                <w:b/>
                <w:bCs/>
                <w:i w:val="0"/>
                <w:iCs w:val="0"/>
                <w:smallCaps w:val="0"/>
                <w:color w:val="000000"/>
                <w:lang w:val="el" w:eastAsia="el"/>
              </w:rPr>
              <w:t>ματος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(ευρώ)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φόρου προς απόδοση (3 Χ 4)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Απρίλιος - Οκτώβριος 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Νοέμβριος- Μάρτιος 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80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80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ΓΕΝΙΚΟ ΣΥΝΟΛΟ ΦΟΡΟΥ (Α+Β+Γ+Δ+Ε)</w:t>
      </w:r>
    </w:p>
    <w:p>
      <w:pPr>
        <w:spacing w:before="240" w:after="240"/>
        <w:rPr>
          <w:lang w:val="el" w:eastAsia="el"/>
        </w:rPr>
      </w:pPr>
      <w:r>
        <w:rPr>
          <w:b/>
          <w:bCs/>
          <w:u w:val="single"/>
          <w:lang w:val="el" w:eastAsia="el"/>
        </w:rPr>
        <w:t>ΗΜΕΡΟΜΗΝΙΑ…………………………………….</w:t>
      </w:r>
    </w:p>
    <w:p>
      <w:pPr>
        <w:spacing w:before="240" w:after="240"/>
        <w:rPr>
          <w:lang w:val="el" w:eastAsia="el"/>
        </w:rPr>
      </w:pPr>
      <w:r>
        <w:rPr>
          <w:b/>
          <w:bCs/>
          <w:u w:val="single"/>
          <w:lang w:val="el" w:eastAsia="el"/>
        </w:rPr>
        <w:t>Ο ΛΟΓΙΣΤΗΣ</w:t>
      </w:r>
    </w:p>
    <w:p>
      <w:pPr>
        <w:spacing w:before="240" w:after="240"/>
        <w:rPr>
          <w:lang w:val="el" w:eastAsia="el"/>
        </w:rPr>
      </w:pPr>
      <w:r>
        <w:rPr>
          <w:b/>
          <w:bCs/>
          <w:u w:val="single"/>
          <w:lang w:val="el" w:eastAsia="el"/>
        </w:rPr>
        <w:t>Α.Χ.Κ./ΕΤΟΣ ………………….</w:t>
      </w:r>
    </w:p>
    <w:p>
      <w:pPr>
        <w:spacing w:before="240" w:after="240"/>
        <w:rPr>
          <w:lang w:val="el" w:eastAsia="el"/>
        </w:rPr>
      </w:pPr>
      <w:r>
        <w:rPr>
          <w:u w:val="single"/>
          <w:lang w:val="el" w:eastAsia="el"/>
        </w:rPr>
        <w:t>*Αναγράφεται το σύνολο των δωματίων-διαμερισμάτων ανεξάρτητα από τον αριθμό των κλινών τους.</w:t>
      </w:r>
    </w:p>
    <w:p>
      <w:pPr>
        <w:spacing w:before="240" w:after="240"/>
        <w:rPr>
          <w:lang w:val="el" w:eastAsia="el"/>
        </w:rPr>
      </w:pPr>
      <w:r>
        <w:rPr>
          <w:u w:val="single"/>
          <w:lang w:val="el" w:eastAsia="el"/>
        </w:rPr>
        <w:t>** Αναγράφεται το σύνολο των κλινών ανεξάρτητα από τον αριθμό δωματίων-διαμερισμάτων.</w:t>
      </w:r>
    </w:p>
    <w:p>
      <w:pPr>
        <w:spacing w:before="240" w:after="240"/>
        <w:rPr>
          <w:lang w:val="el" w:eastAsia="el"/>
        </w:rPr>
      </w:pPr>
      <w:r>
        <w:rPr>
          <w:u w:val="single"/>
          <w:lang w:val="el" w:eastAsia="el"/>
        </w:rPr>
        <w:t>*** &amp; **** Περιλαμβάνονται και οι δωρεάν διαμονές, οι οποίες δεν επιβαρύνονται με ΤΑΚΚ.</w:t>
      </w:r>
    </w:p>
    <w:p>
      <w:pPr>
        <w:spacing w:before="240" w:after="240"/>
        <w:rPr>
          <w:lang w:val="el" w:eastAsia="el"/>
        </w:rPr>
      </w:pPr>
      <w:r>
        <w:rPr>
          <w:u w:val="single"/>
          <w:lang w:val="el" w:eastAsia="el"/>
        </w:rPr>
        <w:t>***** Σε περίπτωση που δεν υφίσταται υποχρέωση έναρξης , συμπληρώνεται 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