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002/2024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Υιοθέτηση Ελεγκτικού Προτύπου αναφορικά με τις υπηρεσίες διασφάλισης της υποβολής εκθέσεων βιωσιμότητας.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ΤΟ ΔΙΟΙΚΗΤΙΚΟ ΣΥΜΒΟΥΛΙΟ ΤΗΣ ΕΠΙΤΡΟΠΗΣ ΛΟΓΙΣΤΙΚΗΣ ΤΥΠΟΠΟΙΗΣΗΣ ΚΑΙ ΕΛΕΓΧΩΝ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9 του ν. 3148/2003 «Επιτροπή Λογιστικής Τυποποίησης και Ελέγχων, ιδρύματα ηλεκτρονικού χρήματος, προστασία ευρώ, επιχειρήσεις διαμεσολάβησης μεταφοράς κεφαλαίων» (Α’ 136/5.6.2003), όπως αντικαταστάθηκε με το άρθρο 32 του ν. 4170/2013 (Α’163), καθώς και την παρ. 3 του άρθρου 1 τους ως άνω νόμου. 2. Την υπό στοιχεία 162928 ΕΞ 2022/8.11.2022 (Υ.Ο.Δ.Δ. 1053) απόφαση του Υφυπουργού Οικονομικών, περί διορισμού του Δ.Σ. της Ε.Λ.Τ.Ε.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παρ. 1 και 10 του άρθρου 2 του ν. 4449/2017 «Υποχρεωτικός έλεγχος των ετήσιων και των ενοποιημένων χρηματοοικονομικών καταστάσεων, δημόσια εποπτεία επί του ελεγκτικού έργου και λοιπές διατάξεις» (Α’ 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παρ. 2 του άρθρου 30 του ν. 4449/2017.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κατευθυντήριες Οδηγίες της Επιτροπής Ευρωπαϊκών Εποπτικών Αρχών Ελέγχου για την Περιορισμένη Διασφάλιση της Έκθεσης Βιωσιμότητας, οι οποίες εκδόθηκαν κατά εξουσιοδότηση της Ευρωπαϊκή Επιτροπής (αιτιολογική οδηγίας ν.69).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Τον ν. 5164/2024 «Ενσωμάτωση της Οδηγίας (ΕΕ) 2022/2464 του Ευρωπαϊκού Κοινοβουλίου και του Συμβουλίου, της 14ης Δεκεμβρίου 2022, για την τροποποίηση του Κανονισμού (ΕΕ) 537/2014, της Οδηγίας 2004/109/ΕΚ, της Οδηγίας 2006/43/ΕΚ και της Οδηγίας 2013/34/ΕΕ, όσον αφορά την υποβολή εκθέσεων βιωσιμότητας από τις εταιρείες (L 322) και της κατ’ εξουσιοδότηση Οδηγίας (ΕΕ) 2023/2775 της Επιτροπής, της 17ης Οκτωβρίου 2023, για την τροποποίηση της Οδηγίας 2013/34/ΕΕ του Ευρωπαϊκού Κοινοβουλίου και του Συμβουλίου όσον αφορά τις προσαρμογές των κριτηρίων μεγέθους για τις πολύ μικρές, τις μικρές, τις μεσαίες και τις μεγάλες επιχειρήσεις ή ομίλους» (Α’ 202).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 υπ’ αρ. 261/16/17.12.2024 απόσπασμα πρακτικού συνεδρίασης του Διοικητικού Συμβουλίου της Ε.Λ.Τ.Ε.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δεν προκαλείται δαπάνη σε βάρος του κρατικού προϋπολογισμού, αποφασίζει: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Πεδίο Εφαρμογής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Πεδίο εφαρμογής της παρούσας απόφασης αποτελούν η έγκριση και υιοθέτηση προτύπων περιορισμένης διασφάλισης που θα πρέπει να εφαρμόζουν οι ορκωτοί ελεγκτές λογιστές σύμφωνα με την Οδηγία για την Αναφορά Εταιρικής Βιωσιμότητας (CSRD).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Ελεγκτικό Πλαίσιο και Έκθεση Διασφάλισης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Οι ορκωτοί ελεγκτές λογιστές ή οι ελεγκτικές εταιρείες διενεργούν διαδικασίες περιορισμένης διασφάλισης και εκδίδουν σχετική έκθεση, όπως αυτή περιγράφεται στον ν. 4449/2017, εφεξής «Έκθεση Διασφάλισης».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εν λόγω Έκθεση Διασφάλισης καταρτίζεται εγγράφως σύμφωνα με το άρθρο 30 του ν.4449/2017, με τις απαιτήσεις των σχετικών Διεθνών Προτύπων και πιο συγκεκριμένα του Διεθνούς Προτύπου Αναθέσεων Διασφάλισης 3000 (Αναθεωρημένο) με τίτλο: «ΑΝΑΘΕΣΕΙΣ ΔΙΑΣΦΑΛΙΣΗΣ ΠΕΡΑΝ ΕΛΕΓΧΟΥ Ή ΕΠΙΣΚΟΠΗΣΗΣ ΙΣΤΟΡΙΚΗΣ ΧΡΗΜΑΤΟΟΙΚΟΝΟΜΙΚΗΣ ΠΛΗΡΟΦΟΡΗΣΗΣ», και συνεπώς αποτελεί εργασία που εντάσσεται στους υποχρεωτικούς ελέγχους του ν. 4449/2017.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Το Διοικητικό Συμβούλιο της ΕΛΤΕ είναι αρμόδιο για τυχόν θέματα που μπορεί να προκύψουν και δεν καλύπτονται από την παρούσα Κανονιστική Πράξη.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Κανονιστική Πράξη ισχύει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Δεκεμβρίου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ΓΙΑΝΝΟΠΟΥΛΟΣ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