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 1.ΥΠΟΥΡΓΕΙΟ ΕΘΝΙΚΗΣ ΟΙΚΟΝΟΜΙΑΣ ΚΑΙ</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2. ΑΑΔΕ</w:t>
      </w:r>
    </w:p>
    <w:p>
      <w:pPr>
        <w:pStyle w:val="Title"/>
        <w:spacing w:before="120" w:after="360"/>
        <w:rPr>
          <w:lang w:val="el" w:eastAsia="el"/>
        </w:rPr>
      </w:pPr>
      <w:r>
        <w:rPr>
          <w:b/>
          <w:bCs/>
          <w:lang w:val="el" w:eastAsia="el"/>
        </w:rPr>
        <w:t>ΑΑΔΕ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ΦΟΡΟΛΟΓΙΑΣ</w:t>
      </w:r>
    </w:p>
    <w:p>
      <w:pPr>
        <w:pStyle w:val="PreambelText"/>
        <w:spacing w:before="240" w:after="240"/>
        <w:rPr>
          <w:lang w:val="el" w:eastAsia="el"/>
        </w:rPr>
      </w:pPr>
      <w:r>
        <w:rPr>
          <w:b/>
          <w:bCs/>
          <w:lang w:val="el" w:eastAsia="el"/>
        </w:rPr>
        <w:t>ΔΙΕΥΘΥΝΣΗ ΔΙΑΔΙΚΑΣΙΩΝ ΕΙΣΠΡΑΞΕΩΝ</w:t>
      </w:r>
    </w:p>
    <w:p>
      <w:pPr>
        <w:pStyle w:val="PreambelText"/>
        <w:spacing w:before="240" w:after="240"/>
        <w:rPr>
          <w:lang w:val="el" w:eastAsia="el"/>
        </w:rPr>
      </w:pPr>
      <w:r>
        <w:rPr>
          <w:b/>
          <w:bCs/>
          <w:lang w:val="el" w:eastAsia="el"/>
        </w:rPr>
        <w:t>ΚΑΙ ΕΠΙΣΤΡΟΦΩΝ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ΑΔΑ: Ρ6ΟΒ46ΜΠ3Ζ-ΡΝΩ</w:t>
      </w:r>
    </w:p>
    <w:p>
      <w:pPr>
        <w:spacing w:before="240" w:after="240"/>
        <w:rPr>
          <w:lang w:val="el" w:eastAsia="el"/>
        </w:rPr>
      </w:pPr>
      <w:r>
        <w:rPr>
          <w:b/>
          <w:bCs/>
          <w:lang w:val="el" w:eastAsia="el"/>
        </w:rPr>
        <w:t>Αριθ. ΦΕΚ: Β΄166/24.01.2025</w:t>
      </w:r>
    </w:p>
    <w:p>
      <w:pPr>
        <w:spacing w:before="240" w:after="240"/>
        <w:rPr>
          <w:lang w:val="el" w:eastAsia="el"/>
        </w:rPr>
      </w:pPr>
      <w:r>
        <w:rPr>
          <w:b/>
          <w:bCs/>
          <w:lang w:val="el" w:eastAsia="el"/>
        </w:rPr>
        <w:t>Αθήνα, 14 Ιανουαρίου 2025</w:t>
      </w:r>
    </w:p>
    <w:p>
      <w:pPr>
        <w:spacing w:before="240" w:after="240"/>
        <w:rPr>
          <w:lang w:val="el" w:eastAsia="el"/>
        </w:rPr>
      </w:pPr>
      <w:r>
        <w:rPr>
          <w:b/>
          <w:bCs/>
          <w:lang w:val="el" w:eastAsia="el"/>
        </w:rPr>
        <w:t>Α.1004</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Τηλέφωνα</w:t>
      </w:r>
    </w:p>
    <w:p>
      <w:pPr>
        <w:spacing w:before="240" w:after="240"/>
        <w:rPr>
          <w:lang w:val="el" w:eastAsia="el"/>
        </w:rPr>
      </w:pPr>
      <w:r>
        <w:rPr>
          <w:b/>
          <w:bCs/>
          <w:lang w:val="el" w:eastAsia="el"/>
        </w:rPr>
        <w:t>E-Mail</w:t>
      </w:r>
    </w:p>
    <w:p>
      <w:pPr>
        <w:spacing w:before="240" w:after="240"/>
        <w:rPr>
          <w:lang w:val="el" w:eastAsia="el"/>
        </w:rPr>
      </w:pPr>
      <w:r>
        <w:rPr>
          <w:b/>
          <w:bCs/>
          <w:lang w:val="el" w:eastAsia="el"/>
        </w:rPr>
        <w:t>Ταύρος 180</w:t>
      </w:r>
    </w:p>
    <w:p>
      <w:pPr>
        <w:spacing w:before="240" w:after="240"/>
        <w:rPr>
          <w:lang w:val="el" w:eastAsia="el"/>
        </w:rPr>
      </w:pPr>
      <w:r>
        <w:rPr>
          <w:b/>
          <w:bCs/>
          <w:lang w:val="el" w:eastAsia="el"/>
        </w:rPr>
        <w:t>17778 Ταύρος</w:t>
      </w:r>
    </w:p>
    <w:p>
      <w:pPr>
        <w:spacing w:before="240" w:after="240"/>
        <w:rPr>
          <w:lang w:val="el" w:eastAsia="el"/>
        </w:rPr>
      </w:pPr>
      <w:r>
        <w:rPr>
          <w:b/>
          <w:bCs/>
          <w:lang w:val="el" w:eastAsia="el"/>
        </w:rPr>
        <w:t>2131410102</w:t>
      </w:r>
    </w:p>
    <w:p>
      <w:pPr>
        <w:spacing w:before="240" w:after="240"/>
        <w:rPr>
          <w:lang w:val="el" w:eastAsia="el"/>
        </w:rPr>
      </w:pPr>
      <w:r>
        <w:rPr>
          <w:b/>
          <w:bCs/>
          <w:lang w:val="el" w:eastAsia="el"/>
        </w:rPr>
        <w:t>2131410115</w:t>
      </w:r>
    </w:p>
    <w:p>
      <w:pPr>
        <w:spacing w:before="240" w:after="240"/>
        <w:rPr>
          <w:lang w:val="el" w:eastAsia="el"/>
        </w:rPr>
      </w:pPr>
      <w:hyperlink r:id="rId4" w:history="1">
        <w:r>
          <w:rPr>
            <w:rStyle w:val="Hyperlink"/>
            <w:b/>
            <w:bCs/>
            <w:color w:val="0000EE"/>
            <w:u w:color="0000EE"/>
            <w:lang w:val="el" w:eastAsia="el"/>
          </w:rPr>
          <w:t>dideisep@aade.gr</w:t>
        </w:r>
      </w:hyperlink>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Β. ΓΕΝΙΚΗ Δ/ΝΣΗ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Τηλέφωνα:</w:t>
      </w:r>
    </w:p>
    <w:p>
      <w:pPr>
        <w:spacing w:before="240" w:after="240"/>
        <w:rPr>
          <w:lang w:val="el" w:eastAsia="el"/>
        </w:rPr>
      </w:pPr>
      <w:r>
        <w:rPr>
          <w:lang w:val="el" w:eastAsia="el"/>
        </w:rPr>
        <w:t xml:space="preserve">2. </w:t>
      </w: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Τηλέφωνα:</w:t>
      </w:r>
    </w:p>
    <w:p>
      <w:pPr>
        <w:spacing w:before="240" w:after="240"/>
        <w:rPr>
          <w:lang w:val="el" w:eastAsia="el"/>
        </w:rPr>
      </w:pPr>
      <w:r>
        <w:rPr>
          <w:b/>
          <w:bCs/>
          <w:lang w:val="el" w:eastAsia="el"/>
        </w:rPr>
        <w:t>Θέμα: Τροποποίηση της υπό στοιχεία 1027320/678/0006Β/ 24.02.1998 απόφασης του Υπουργού Οικονομικών «Τύπος και περιεχόμενο των χρησιμοποιούμενων από τις Δ.Ο.Υ./ Κ.Ε.ΜΕ.ΕΠ./ ΚΕ.ΦΟ.ΜΕ.Π./ ΚΕ.Β.ΕΙΣ. εντύπων» (B΄196).</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ΕΘΝΙΚΗΣ ΟΙΚΟΝΟΜΙΑΣΚΑΙ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Την παρ.2 του άρθρου 49 του ν. 1591/1986 «Ρυθμίσεις στην άμεση και έμμεση φορολογία, θέσπιση μέτρων για την πάταξη της φοροδιαφυγής και άλλες διατάξεις που ρυθμίζουν θέματα αρμοδιότητας Υπουργείου Οικονομικών» (Α΄ 50).</w:t>
      </w:r>
    </w:p>
    <w:p>
      <w:pPr>
        <w:spacing w:before="240" w:after="240"/>
        <w:rPr>
          <w:lang w:val="el" w:eastAsia="el"/>
        </w:rPr>
      </w:pPr>
      <w:r>
        <w:rPr>
          <w:lang w:val="el" w:eastAsia="el"/>
        </w:rPr>
        <w:t xml:space="preserve">2. </w:t>
      </w:r>
      <w:r>
        <w:rPr>
          <w:b/>
          <w:bCs/>
          <w:lang w:val="el" w:eastAsia="el"/>
        </w:rPr>
        <w:t>Την παρ. 1 του άρθρου 93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 xml:space="preserve">3. </w:t>
      </w:r>
      <w:r>
        <w:rPr>
          <w:b/>
          <w:bCs/>
          <w:lang w:val="el" w:eastAsia="el"/>
        </w:rPr>
        <w:t>Το άρθρο 12, την παρ. 1 του άρθρου 36 και το άρθρο 42 του ν. 5104/2024 «Κώδικας Φορολογικής Διαδικασίας και άλλες διατάξεις» (Α΄58).</w:t>
      </w:r>
    </w:p>
    <w:p>
      <w:pPr>
        <w:spacing w:before="240" w:after="240"/>
        <w:rPr>
          <w:lang w:val="el" w:eastAsia="el"/>
        </w:rPr>
      </w:pPr>
      <w:r>
        <w:rPr>
          <w:lang w:val="el" w:eastAsia="el"/>
        </w:rPr>
        <w:t xml:space="preserve">4. </w:t>
      </w:r>
      <w:r>
        <w:rPr>
          <w:b/>
          <w:bCs/>
          <w:lang w:val="el" w:eastAsia="el"/>
        </w:rPr>
        <w:t>Την υπό στοιχεία 1027320/678/0006Β/24.02.1998 απόφαση του Υπουργού Οικονομικών «Τύπος και περιεχόμενο των χρησιμοποιούμενων από τις Δ.Ο.Υ./Κ.Ε.ΜΕ.ΕΠ./ΚΕ.ΦΟ.ΜΕ.Π./ΚΕ.Β.ΕΙΣ. εντύπων» (Β΄ 196).</w:t>
      </w:r>
    </w:p>
    <w:p>
      <w:pPr>
        <w:spacing w:before="240" w:after="240"/>
        <w:rPr>
          <w:lang w:val="el" w:eastAsia="el"/>
        </w:rPr>
      </w:pPr>
      <w:r>
        <w:rPr>
          <w:lang w:val="el" w:eastAsia="el"/>
        </w:rPr>
        <w:t xml:space="preserve">5. </w:t>
      </w:r>
      <w:r>
        <w:rPr>
          <w:b/>
          <w:bCs/>
          <w:lang w:val="el" w:eastAsia="el"/>
        </w:rPr>
        <w:t>Το π.δ. 16/1989 «Κανονισμός λειτουργίας Δημοσίων Οικονομικών Υπηρεσιών (Δ.Ο.Υ.) και των Τοπικών Γραφείων και καθήκοντα υπαλλήλων αυτών» (Α΄6).</w:t>
      </w:r>
    </w:p>
    <w:p>
      <w:pPr>
        <w:spacing w:before="240" w:after="240"/>
        <w:rPr>
          <w:lang w:val="el" w:eastAsia="el"/>
        </w:rPr>
      </w:pPr>
      <w:r>
        <w:rPr>
          <w:lang w:val="el" w:eastAsia="el"/>
        </w:rPr>
        <w:t xml:space="preserve">6.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7. </w:t>
      </w:r>
      <w:r>
        <w:rPr>
          <w:b/>
          <w:bCs/>
          <w:lang w:val="el" w:eastAsia="el"/>
        </w:rPr>
        <w:t>Την υπό στοιχεία Δ. ΟΡΓ. Α 1125859 ΕΞ2020/23.10.2020 (Β’ 4738)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8. </w:t>
      </w:r>
      <w:r>
        <w:rPr>
          <w:b/>
          <w:bCs/>
          <w:lang w:val="el" w:eastAsia="el"/>
        </w:rPr>
        <w:t>Το Κεφαλαίο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παραγράφου 1 του άρθρου 14 και του άρθρου 41 αυτού.</w:t>
      </w:r>
    </w:p>
    <w:p>
      <w:pPr>
        <w:spacing w:before="240" w:after="240"/>
        <w:rPr>
          <w:lang w:val="el" w:eastAsia="el"/>
        </w:rPr>
      </w:pPr>
      <w:r>
        <w:rPr>
          <w:lang w:val="el" w:eastAsia="el"/>
        </w:rPr>
        <w:t xml:space="preserve">9.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2020/17.01.2020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10. </w:t>
      </w:r>
      <w:r>
        <w:rPr>
          <w:b/>
          <w:bCs/>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 xml:space="preserve">11.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-Τροποποίηση και συμπλήρωση του π.δ. 77/2023 (Α’ 130) - Μεταβατικές διατάξεις» (Α΄139).</w:t>
      </w:r>
    </w:p>
    <w:p>
      <w:pPr>
        <w:spacing w:before="240" w:after="240"/>
        <w:rPr>
          <w:lang w:val="el" w:eastAsia="el"/>
        </w:rPr>
      </w:pPr>
      <w:r>
        <w:rPr>
          <w:lang w:val="el" w:eastAsia="el"/>
        </w:rPr>
        <w:t xml:space="preserve">12. </w:t>
      </w:r>
      <w:r>
        <w:rPr>
          <w:b/>
          <w:bCs/>
          <w:lang w:val="el" w:eastAsia="el"/>
        </w:rPr>
        <w:t>Το π.δ. 32/2024 «Διορισμός Υπουργώv και Υφυπουργών» (Α΄91).</w:t>
      </w:r>
    </w:p>
    <w:p>
      <w:pPr>
        <w:spacing w:before="240" w:after="240"/>
        <w:rPr>
          <w:lang w:val="el" w:eastAsia="el"/>
        </w:rPr>
      </w:pPr>
      <w:r>
        <w:rPr>
          <w:lang w:val="el" w:eastAsia="el"/>
        </w:rPr>
        <w:t xml:space="preserve">13. </w:t>
      </w:r>
      <w:r>
        <w:rPr>
          <w:b/>
          <w:bCs/>
          <w:lang w:val="el" w:eastAsia="el"/>
        </w:rPr>
        <w:t>Την υπό στοιχεία 84913 ΕΞ 2024/17.6.2024 κοινή απόφαση του Πρωθυπουργού και του Υπουργού Οικονομικών «Ανάθεση αρμοδιοτήτων στον Υφυπουργό Εθνικής Οικονομίας και Οικονομικών, Χρίστο Δήμα» (Β΄3472).</w:t>
      </w:r>
    </w:p>
    <w:p>
      <w:pPr>
        <w:spacing w:before="240" w:after="240"/>
        <w:rPr>
          <w:lang w:val="el" w:eastAsia="el"/>
        </w:rPr>
      </w:pPr>
      <w:r>
        <w:rPr>
          <w:lang w:val="el" w:eastAsia="el"/>
        </w:rPr>
        <w:t xml:space="preserve">14. </w:t>
      </w:r>
      <w:r>
        <w:rPr>
          <w:b/>
          <w:bCs/>
          <w:lang w:val="el" w:eastAsia="el"/>
        </w:rPr>
        <w:t>Την από 05.12.2024 εισήγηση της Διεύθυνσης Επιχειρησιακού Σχεδιασμού Εισπράξεων και Επιστροφών (ΔΙ.Ε.Σ.Ε.Ε.).</w:t>
      </w:r>
    </w:p>
    <w:p>
      <w:pPr>
        <w:spacing w:before="240" w:after="240"/>
        <w:rPr>
          <w:lang w:val="el" w:eastAsia="el"/>
        </w:rPr>
      </w:pPr>
      <w:r>
        <w:rPr>
          <w:lang w:val="el" w:eastAsia="el"/>
        </w:rPr>
        <w:t xml:space="preserve">15. </w:t>
      </w:r>
      <w:r>
        <w:rPr>
          <w:b/>
          <w:bCs/>
          <w:lang w:val="el" w:eastAsia="el"/>
        </w:rPr>
        <w:t>Την ανάγκη επέκτασης της χρήσης του νέου εντύπου «Ατομικό Φύλλο Έκπτωσης» (Α6ε) σε όλες τις Δ.Ο.Υ. και της αντικατάστασης των χειρόγραφων υπογραφών με μηχανογραφικές προκειμένου να μειωθεί έτι περαιτέρω η έγχαρτη διακίνηση των τίτλων επιστροφής και να χρησιμοποιούνται τα ίδια έντυπα από όλες τις αρμόδιες Υπηρεσίες της ΑΑΔΕ.</w:t>
      </w:r>
    </w:p>
    <w:p>
      <w:pPr>
        <w:spacing w:before="240" w:after="240"/>
        <w:rPr>
          <w:lang w:val="el" w:eastAsia="el"/>
        </w:rPr>
      </w:pPr>
      <w:r>
        <w:rPr>
          <w:lang w:val="el" w:eastAsia="el"/>
        </w:rPr>
        <w:t xml:space="preserve">16.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lang w:val="el" w:eastAsia="el"/>
        </w:rPr>
        <w:t xml:space="preserve">17. </w:t>
      </w:r>
      <w:r>
        <w:rPr>
          <w:b/>
          <w:bCs/>
          <w:lang w:val="el" w:eastAsia="el"/>
        </w:rPr>
        <w:t>Το γεγονός ότι οι διατάξεις της παρούσης δεν αφορούν σε διοικητική διαδικασία για την οποία υπάρχει υποχρέωση καταχώρισης στο ΕΜΔΔ - ΜΙΤΟΣ.</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w:t>
      </w:r>
      <w:r>
        <w:rPr>
          <w:b/>
          <w:bCs/>
          <w:lang w:val="el" w:eastAsia="el"/>
        </w:rPr>
        <w:t>Το προτελευταίο εδάφιο της περ. (ιγ) της παρ. 2 του άρθρου μόνο της υπό στοιχεία 1027320/678/0006Β/24.02.1998 (Β΄ 196) απόφασης του Υπουργού Οικονομικών, αντικαθίσταται ως ακολούθως:</w:t>
      </w:r>
    </w:p>
    <w:p>
      <w:pPr>
        <w:spacing w:before="240" w:after="240"/>
        <w:rPr>
          <w:lang w:val="el" w:eastAsia="el"/>
        </w:rPr>
      </w:pPr>
      <w:r>
        <w:rPr>
          <w:b/>
          <w:bCs/>
          <w:lang w:val="el" w:eastAsia="el"/>
        </w:rPr>
        <w:t>«Η χρήση του αφορά στις περιπτώσεις Α.Φ.ΕΚ. που εκδίδονται μετά από απόφαση του Προϊσταμένου Δ.Ο.Υ./αρμόδιας υπηρεσίας και αποστέλλονται ηλεκτρονικά στην υπηρεσία, στα βιβλία εισπρακτέων εσόδων της οποίας έχουν καταχωριστεί οι απαιτήσεις.»</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ΥΦΥΠΟΥΡΓΟΣ ΕΘΝΙΚΗΣΟΙΚΟΝΟΜΙΑΣ ΚΑΙ ΟΙΚΟΝΟΜΙΚΩΝ</w:t>
      </w:r>
    </w:p>
    <w:p>
      <w:pPr>
        <w:spacing w:before="240" w:after="240"/>
        <w:rPr>
          <w:lang w:val="el" w:eastAsia="el"/>
        </w:rPr>
      </w:pPr>
      <w:r>
        <w:rPr>
          <w:b/>
          <w:bCs/>
          <w:lang w:val="el" w:eastAsia="el"/>
        </w:rPr>
        <w:t>ΧΡΙΣΤΟΣ ΔΗΜΑΣ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Γενική Διεύθυνση Ηλεκτρονικής Διακυβέρνησης (Γ.Δ.ΗΛΕ.Δ.)</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(για ανάρτηση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Ελεγκτικό Συνέδριο - Υπηρεσία Επιτρόπου «Παρακολούθηση και Έλεγχος Είσπραξης Δημοσίων Εσόδων και Επιτήρηση Δημοσίων Υπολόγων»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Γενικού Γραμματέα Φορολογικής Πολιτικής</w:t>
      </w:r>
    </w:p>
    <w:p>
      <w:pPr>
        <w:pStyle w:val="MainText"/>
        <w:spacing w:before="120" w:after="0"/>
        <w:rPr>
          <w:lang w:val="el" w:eastAsia="el"/>
        </w:rPr>
      </w:pPr>
      <w:r>
        <w:rPr>
          <w:b/>
          <w:bCs/>
          <w:lang w:val="el" w:eastAsia="el"/>
        </w:rPr>
        <w:t>5.</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6.</w:t>
      </w:r>
      <w:r>
        <w:rPr>
          <w:lang w:val="el" w:eastAsia="el"/>
        </w:rPr>
        <w:t xml:space="preserve">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Γραφεία Προϊσταμένων Γενικών Διευθύνσεων</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Επιχειρησιακών Διαδικασιών</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Διαδικασιών Εισπράξεων και Επιστροφών– Τμήματα Α-Γ, Γραμματεία</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Ανάπτυξης Φορολογικών Εφαρμογών</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Επιχειρησιακού Σχεδιασμού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