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w:t>
      </w:r>
    </w:p>
    <w:p>
      <w:pPr>
        <w:pStyle w:val="Title"/>
        <w:spacing w:before="120" w:after="360"/>
        <w:rPr>
          <w:lang w:val="el" w:eastAsia="el"/>
        </w:rPr>
      </w:pPr>
      <w:r>
        <w:rPr>
          <w:b/>
          <w:bCs/>
          <w:lang w:val="el" w:eastAsia="el"/>
        </w:rPr>
        <w:t>ΑΔΑ: ΨΘΘ746ΜΠ3Ζ-5Δ</w:t>
      </w:r>
    </w:p>
    <w:p>
      <w:pPr>
        <w:pStyle w:val="Title"/>
        <w:spacing w:before="120" w:after="360"/>
        <w:rPr>
          <w:lang w:val="el" w:eastAsia="el"/>
        </w:rPr>
      </w:pPr>
      <w:r>
        <w:rPr>
          <w:b/>
          <w:bCs/>
          <w:lang w:val="el" w:eastAsia="el"/>
        </w:rPr>
        <w:t>ΦΕΚ: B’ 578/13.2.2025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ΕΘΝΙΚΗΣ ΟΙΚΟΝΟΜΙΑΣ ΚΑΙ ΟΙΚΟΝΟΜΙΚΩΝ</w:t>
      </w:r>
    </w:p>
    <w:p>
      <w:pPr>
        <w:pStyle w:val="PreambelText"/>
        <w:spacing w:before="240" w:after="240"/>
        <w:rPr>
          <w:lang w:val="el" w:eastAsia="el"/>
        </w:rPr>
      </w:pPr>
      <w:r>
        <w:rPr>
          <w:b/>
          <w:bCs/>
          <w:lang w:val="el" w:eastAsia="el"/>
        </w:rPr>
        <w:t>Αθήνα, 20 Ιανουαρίου 2025</w:t>
      </w:r>
    </w:p>
    <w:p>
      <w:pPr>
        <w:pStyle w:val="PreambelText"/>
        <w:spacing w:before="240" w:after="240"/>
        <w:rPr>
          <w:lang w:val="el" w:eastAsia="el"/>
        </w:rPr>
      </w:pPr>
      <w:r>
        <w:rPr>
          <w:b/>
          <w:bCs/>
          <w:lang w:val="el" w:eastAsia="el"/>
        </w:rPr>
        <w:t>Αριθ. Πρωτ.: Α. 1008</w:t>
      </w:r>
    </w:p>
    <w:p>
      <w:pPr>
        <w:pStyle w:val="PreambelText"/>
        <w:spacing w:before="240" w:after="240"/>
        <w:rPr>
          <w:lang w:val="el" w:eastAsia="el"/>
        </w:rPr>
      </w:pPr>
      <w:r>
        <w:rPr>
          <w:b/>
          <w:bCs/>
          <w:lang w:val="el" w:eastAsia="el"/>
        </w:rPr>
        <w:t>ΓΕΝΙΚΗ ΔΙΕΥΘΥΝΣΗ ΦΟΡΟΛΟΓΙΑΣ (Γ.Δ.Φ) ΔΙΕΥΘΥΝΣΗ ΕΦΑΡΜΟΓΗΣ ΑΜΕΣΗΣ ΦΟΡΟΛΟΓΙΑΣ ΤΜΗΜΑ Γ΄-ΦΟΡΟΥ ΠΛΟΙΩΝ &amp; ΝΑΥΤΙΛΙΑΚΩΝ ΕΤΑΙΡΕΙΩΝ</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17778, Ταύρος</w:t>
      </w:r>
    </w:p>
    <w:p>
      <w:pPr>
        <w:pStyle w:val="PreambelText"/>
        <w:spacing w:before="240" w:after="240"/>
        <w:rPr>
          <w:lang w:val="el" w:eastAsia="el"/>
        </w:rPr>
      </w:pPr>
      <w:r>
        <w:rPr>
          <w:b/>
          <w:bCs/>
          <w:lang w:val="el" w:eastAsia="el"/>
        </w:rPr>
        <w:t>Τηλέφωνο : 2131410225</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deaf.c@aade.gr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3. </w:t>
      </w:r>
      <w:r>
        <w:rPr>
          <w:b/>
          <w:bCs/>
          <w:lang w:val="el" w:eastAsia="el"/>
        </w:rPr>
        <w:t>ΥΠΟΥΡΓΕΙΟ ΝΑΥΤΙΛΙΑΣ ΚΑΙ ΝΗΣΙΩΤΙΚΗΣ ΠΟΛΙΤΙΚΗΣ ΑΡΧΗΓΕΙΟ ΛΙΜΕΝΙΚΟΥ ΣΩΜΑΤΟΣ-ΕΛΛΗΝ. ΑΚΤΟΦΥΛΑΚΗΣ ΚΛΑΔΟΣ ΑΣΦΑΛΙΣΗΣ ΚΑΙ ΑΣΤΥΝΟΜΕΥΣΗΣ: α. ΔΙΕΥΘΥΝΣΗ ΛΙΜΕΝΙΚΗΣ ΑΣΤΥΝΟΜΙΑΣ β. ΔΙΕΥΘΥΝΣΗ ΕΛΕΓΧΟΥ ΑΛΙΕΙΑΣ ΚΛΑΔΟΣ ΕΛΕΓΧΟΥ ΠΛΟΙΩΝ: ΔΙΕΥΘΥΝΣΗ ΜΕΛΕΤΩΝ ΚΑΙ ΚΑΤΑΣΚΕΥΩΝ ΠΛΟΙΩΝ Ακτή Βασιλειάδη, Πύλες Ε1-Ε2, 18510 Πειραιάς</w:t>
      </w:r>
    </w:p>
    <w:p>
      <w:pPr>
        <w:pStyle w:val="PreambelText"/>
        <w:spacing w:before="240" w:after="240"/>
        <w:rPr>
          <w:lang w:val="el" w:eastAsia="el"/>
        </w:rPr>
      </w:pPr>
      <w:r>
        <w:rPr>
          <w:b/>
          <w:bCs/>
          <w:lang w:val="el" w:eastAsia="el"/>
        </w:rPr>
        <w:t xml:space="preserve">4. </w:t>
      </w:r>
      <w:r>
        <w:rPr>
          <w:b/>
          <w:bCs/>
          <w:lang w:val="el" w:eastAsia="el"/>
        </w:rPr>
        <w:t>ΥΠΟΥΡΓΕΙΟ ΑΓΡΟΤΙΚΗΣ ΑΝΑΠΤΥΞΗΣ ΚΑΙ ΤΡΟΦΙΜΩΝ ΓΕΝ. ΔΙΕΥΘΥΝΣΗ ΑΛΙΕΙΑΣ</w:t>
      </w:r>
    </w:p>
    <w:p>
      <w:pPr>
        <w:pStyle w:val="PreambelText"/>
        <w:spacing w:before="240" w:after="240"/>
        <w:rPr>
          <w:lang w:val="el" w:eastAsia="el"/>
        </w:rPr>
      </w:pPr>
      <w:r>
        <w:rPr>
          <w:b/>
          <w:bCs/>
          <w:lang w:val="el" w:eastAsia="el"/>
        </w:rPr>
        <w:t>Λεωφ. Συγγρού 150, Τ.Κ. 17671 Καλλιθέα</w:t>
      </w:r>
    </w:p>
    <w:p>
      <w:pPr>
        <w:pStyle w:val="PreambelText"/>
        <w:spacing w:before="240" w:after="240"/>
        <w:rPr>
          <w:lang w:val="el" w:eastAsia="el"/>
        </w:rPr>
      </w:pPr>
      <w:r>
        <w:rPr>
          <w:b/>
          <w:bCs/>
          <w:lang w:val="el" w:eastAsia="el"/>
        </w:rPr>
        <w:t>ΘΕΜΑ: «Καθορισμός των προϋποθέσεων αναγνώρισης της αργίας, των απαιτούμενων δικαιολογητικών και του τρόπου προσδιορισμού του χρόνου δραστηριοποίησης των ρυμουλκών και των αυτοκινούμενων βυθοκόρων στις θαλάσσιες μεταφορές, καθώς και κάθε άλλου σχετικού θέματος για την εφαρμογή των διατάξεων του άρθρου 57 του ν. 4646/2019 (A΄201)».</w:t>
      </w:r>
    </w:p>
    <w:p>
      <w:pPr>
        <w:pStyle w:val="enacting"/>
        <w:spacing w:before="120" w:after="0"/>
        <w:rPr>
          <w:lang w:val="el" w:eastAsia="el"/>
        </w:rPr>
      </w:pPr>
      <w:r>
        <w:rPr>
          <w:b/>
          <w:bCs/>
          <w:lang w:val="el" w:eastAsia="el"/>
        </w:rPr>
        <w:t>ΑΠΟΦΑΣΗΟΙ ΥΠΟΥΡΓΟΙ</w:t>
      </w:r>
    </w:p>
    <w:p>
      <w:pPr>
        <w:pStyle w:val="PreambelText"/>
        <w:spacing w:before="240" w:after="240"/>
        <w:rPr>
          <w:lang w:val="el" w:eastAsia="el"/>
        </w:rPr>
      </w:pPr>
      <w:r>
        <w:rPr>
          <w:b/>
          <w:bCs/>
          <w:lang w:val="el" w:eastAsia="el"/>
        </w:rPr>
        <w:t>ΕΘΝΙΚΗΣ ΟΙΚΟΝΟΜΙΑΣ ΝΑΥΤΙΛΙΑΣ ΚΑΙ ΝΗΣΙΩΤΙΚΗΣ ΑΓΡΟΤΙΚΗΣ ΑΝΑΠΤΥΞΗΣ ΚΑΙ</w:t>
      </w:r>
    </w:p>
    <w:p>
      <w:pPr>
        <w:pStyle w:val="PreambelText"/>
        <w:spacing w:before="240" w:after="240"/>
        <w:rPr>
          <w:lang w:val="el" w:eastAsia="el"/>
        </w:rPr>
      </w:pPr>
      <w:r>
        <w:rPr>
          <w:b/>
          <w:bCs/>
          <w:lang w:val="el" w:eastAsia="el"/>
        </w:rPr>
        <w:t>ΚΑΙ ΟΙΚΟΝΟΜΙΚΩΝ ΠΟΛΙΤΙΚΗΣ ΤΡΟΦΙΜΩΝ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Τις διατάξεις:</w:t>
      </w:r>
    </w:p>
    <w:p>
      <w:pPr>
        <w:pStyle w:val="PreambelText"/>
        <w:spacing w:before="240" w:after="240"/>
        <w:rPr>
          <w:lang w:val="el" w:eastAsia="el"/>
        </w:rPr>
      </w:pPr>
      <w:r>
        <w:rPr>
          <w:b/>
          <w:bCs/>
          <w:lang w:val="el" w:eastAsia="el"/>
        </w:rPr>
        <w:t xml:space="preserve">1. </w:t>
      </w:r>
      <w:r>
        <w:rPr>
          <w:b/>
          <w:bCs/>
          <w:lang w:val="el" w:eastAsia="el"/>
        </w:rPr>
        <w:t>Του άρθρου 57 του ν.4646/2019 (Α’201), όπως τροποποιήθηκε με το άρθρο 8 του ν. 5000/2022 (Α’ 226).</w:t>
      </w:r>
    </w:p>
    <w:p>
      <w:pPr>
        <w:pStyle w:val="PreambelText"/>
        <w:spacing w:before="240" w:after="240"/>
        <w:rPr>
          <w:lang w:val="el" w:eastAsia="el"/>
        </w:rPr>
      </w:pPr>
      <w:r>
        <w:rPr>
          <w:b/>
          <w:bCs/>
          <w:lang w:val="el" w:eastAsia="el"/>
        </w:rPr>
        <w:t xml:space="preserve">2. </w:t>
      </w:r>
      <w:r>
        <w:rPr>
          <w:b/>
          <w:bCs/>
          <w:lang w:val="el" w:eastAsia="el"/>
        </w:rPr>
        <w:t>Του π.δ. 142/2017 «Οργανισμός Υπουργείου Οικονομικών» (Α' 181).</w:t>
      </w:r>
    </w:p>
    <w:p>
      <w:pPr>
        <w:pStyle w:val="PreambelText"/>
        <w:spacing w:before="240" w:after="240"/>
        <w:rPr>
          <w:lang w:val="el" w:eastAsia="el"/>
        </w:rPr>
      </w:pPr>
      <w:r>
        <w:rPr>
          <w:b/>
          <w:bCs/>
          <w:lang w:val="el" w:eastAsia="el"/>
        </w:rPr>
        <w:t xml:space="preserve">3. </w:t>
      </w:r>
      <w:r>
        <w:rPr>
          <w:b/>
          <w:bCs/>
          <w:lang w:val="el" w:eastAsia="el"/>
        </w:rPr>
        <w:t>α) Tου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b/>
          <w:bCs/>
          <w:lang w:val="el" w:eastAsia="el"/>
        </w:rPr>
        <w:t>β)</w:t>
      </w:r>
      <w:r>
        <w:rPr>
          <w:b/>
          <w:bCs/>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γ) του π.δ. 87/2023 «Διορισμός Υπουργού Ναυτιλίας και Νησιωτικής Πολιτικής» (Α’151).</w:t>
      </w:r>
    </w:p>
    <w:p>
      <w:pPr>
        <w:pStyle w:val="PreambelText"/>
        <w:spacing w:before="240" w:after="240"/>
        <w:rPr>
          <w:lang w:val="el" w:eastAsia="el"/>
        </w:rPr>
      </w:pPr>
      <w:r>
        <w:rPr>
          <w:b/>
          <w:bCs/>
          <w:lang w:val="el" w:eastAsia="el"/>
        </w:rPr>
        <w:t xml:space="preserve">4. </w:t>
      </w:r>
      <w:r>
        <w:rPr>
          <w:b/>
          <w:bCs/>
          <w:lang w:val="el" w:eastAsia="el"/>
        </w:rPr>
        <w:t>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(Α’114).</w:t>
      </w:r>
    </w:p>
    <w:p>
      <w:pPr>
        <w:pStyle w:val="PreambelText"/>
        <w:spacing w:before="240" w:after="240"/>
        <w:rPr>
          <w:lang w:val="el" w:eastAsia="el"/>
        </w:rPr>
      </w:pPr>
      <w:r>
        <w:rPr>
          <w:b/>
          <w:bCs/>
          <w:lang w:val="el" w:eastAsia="el"/>
        </w:rPr>
        <w:t xml:space="preserve">5. </w:t>
      </w:r>
      <w:r>
        <w:rPr>
          <w:b/>
          <w:bCs/>
          <w:lang w:val="el" w:eastAsia="el"/>
        </w:rPr>
        <w:t>Του π.δ. 13/2018 «Οργανισμός Υπουργείου Ναυτιλίας και Νησιωτικής Πολιτικής» (Α΄ 26).</w:t>
      </w:r>
    </w:p>
    <w:p>
      <w:pPr>
        <w:pStyle w:val="PreambelText"/>
        <w:spacing w:before="240" w:after="240"/>
        <w:rPr>
          <w:lang w:val="el" w:eastAsia="el"/>
        </w:rPr>
      </w:pPr>
      <w:r>
        <w:rPr>
          <w:b/>
          <w:bCs/>
          <w:lang w:val="el" w:eastAsia="el"/>
        </w:rPr>
        <w:t xml:space="preserve">6. </w:t>
      </w:r>
      <w:r>
        <w:rPr>
          <w:b/>
          <w:bCs/>
          <w:lang w:val="el" w:eastAsia="el"/>
        </w:rPr>
        <w:t>Του π.δ. 97/2017, «Οργανισμός Υπουργείου Αγροτικής Ανάπτυξης και Τροφίμων» (Α’138)</w:t>
      </w:r>
    </w:p>
    <w:p>
      <w:pPr>
        <w:pStyle w:val="PreambelText"/>
        <w:spacing w:before="240" w:after="240"/>
        <w:rPr>
          <w:lang w:val="el" w:eastAsia="el"/>
        </w:rPr>
      </w:pPr>
      <w:r>
        <w:rPr>
          <w:b/>
          <w:bCs/>
          <w:lang w:val="el" w:eastAsia="el"/>
        </w:rPr>
        <w:t xml:space="preserve">7. </w:t>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 xml:space="preserve">8. </w:t>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(Β΄4738).</w:t>
      </w:r>
    </w:p>
    <w:p>
      <w:pPr>
        <w:pStyle w:val="PreambelText"/>
        <w:spacing w:before="240" w:after="240"/>
        <w:rPr>
          <w:lang w:val="el" w:eastAsia="el"/>
        </w:rPr>
      </w:pPr>
      <w:r>
        <w:rPr>
          <w:b/>
          <w:bCs/>
          <w:lang w:val="el" w:eastAsia="el"/>
        </w:rPr>
        <w:t xml:space="preserve">9. </w:t>
      </w:r>
      <w:r>
        <w:rPr>
          <w:b/>
          <w:bCs/>
          <w:lang w:val="el" w:eastAsia="el"/>
        </w:rPr>
        <w:t>Της υπ’ αρ. 1 της 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 .</w:t>
      </w:r>
    </w:p>
    <w:p>
      <w:pPr>
        <w:pStyle w:val="PreambelText"/>
        <w:spacing w:before="240" w:after="240"/>
        <w:rPr>
          <w:lang w:val="el" w:eastAsia="el"/>
        </w:rPr>
      </w:pPr>
      <w:r>
        <w:rPr>
          <w:b/>
          <w:bCs/>
          <w:lang w:val="el" w:eastAsia="el"/>
        </w:rPr>
        <w:t xml:space="preserve">10. </w:t>
      </w:r>
      <w:r>
        <w:rPr>
          <w:b/>
          <w:bCs/>
          <w:lang w:val="el" w:eastAsia="el"/>
        </w:rPr>
        <w:t>του π.δ. 79/2023 «Διορισμός Υπουργών, Αναπληρωτών Υπουργών και Υφυπουργών» (Α΄131),</w:t>
      </w:r>
    </w:p>
    <w:p>
      <w:pPr>
        <w:pStyle w:val="PreambelText"/>
        <w:spacing w:before="240" w:after="240"/>
        <w:rPr>
          <w:lang w:val="el" w:eastAsia="el"/>
        </w:rPr>
      </w:pPr>
      <w:r>
        <w:rPr>
          <w:b/>
          <w:bCs/>
          <w:lang w:val="el" w:eastAsia="el"/>
        </w:rPr>
        <w:t xml:space="preserve">11. </w:t>
      </w:r>
      <w:r>
        <w:rPr>
          <w:b/>
          <w:bCs/>
          <w:lang w:val="el" w:eastAsia="el"/>
        </w:rPr>
        <w:t>του π.δ. 32/2024 «Διορισμός Υπουργών και Υφυπουργών» (Α’91),</w:t>
      </w:r>
    </w:p>
    <w:p>
      <w:pPr>
        <w:pStyle w:val="PreambelText"/>
        <w:spacing w:before="240" w:after="240"/>
        <w:rPr>
          <w:lang w:val="el" w:eastAsia="el"/>
        </w:rPr>
      </w:pPr>
      <w:r>
        <w:rPr>
          <w:b/>
          <w:bCs/>
          <w:lang w:val="el" w:eastAsia="el"/>
        </w:rPr>
        <w:t xml:space="preserve">12. </w:t>
      </w:r>
      <w:r>
        <w:rPr>
          <w:b/>
          <w:bCs/>
          <w:lang w:val="el" w:eastAsia="el"/>
        </w:rPr>
        <w:t>Της υπό στοιχεία 84913 ΕΞ 2024 κοινής απόφασης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pStyle w:val="PreambelText"/>
        <w:spacing w:before="240" w:after="240"/>
        <w:rPr>
          <w:lang w:val="el" w:eastAsia="el"/>
        </w:rPr>
      </w:pPr>
      <w:r>
        <w:rPr>
          <w:b/>
          <w:bCs/>
          <w:lang w:val="el" w:eastAsia="el"/>
        </w:rPr>
        <w:t xml:space="preserve">13. </w:t>
      </w:r>
      <w:r>
        <w:rPr>
          <w:b/>
          <w:bCs/>
          <w:lang w:val="el" w:eastAsia="el"/>
        </w:rPr>
        <w:t>Της υπ’ αρ. 2748/1-11-2024 κοινής απόφασης του Πρωθυπουργού και του Υπουργού Αγροτικής Ανάπτυξης και Τροφίμων «Ανάθεση αρμοδιοτήτων στον Υφυπουργό Αγροτικής Ανάπτυξης και Τροφίμων» Χρήστο Κέλλα» (Β΄6049),</w:t>
      </w:r>
    </w:p>
    <w:p>
      <w:pPr>
        <w:pStyle w:val="PreambelText"/>
        <w:spacing w:before="240" w:after="240"/>
        <w:rPr>
          <w:lang w:val="el" w:eastAsia="el"/>
        </w:rPr>
      </w:pPr>
      <w:r>
        <w:rPr>
          <w:b/>
          <w:bCs/>
          <w:lang w:val="el" w:eastAsia="el"/>
        </w:rPr>
        <w:t xml:space="preserve">14. </w:t>
      </w:r>
      <w:r>
        <w:rPr>
          <w:b/>
          <w:bCs/>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b/>
          <w:bCs/>
          <w:lang w:val="el" w:eastAsia="el"/>
        </w:rPr>
        <w:t xml:space="preserve">15. </w:t>
      </w:r>
      <w:r>
        <w:rPr>
          <w:b/>
          <w:bCs/>
          <w:lang w:val="el" w:eastAsia="el"/>
        </w:rPr>
        <w:t>Της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b/>
          <w:bCs/>
          <w:lang w:val="el" w:eastAsia="el"/>
        </w:rPr>
        <w:t xml:space="preserve">16. </w:t>
      </w:r>
      <w:r>
        <w:rPr>
          <w:b/>
          <w:bCs/>
          <w:lang w:val="el" w:eastAsia="el"/>
        </w:rPr>
        <w:t>Της υπό στοιχεία Α. 1201/2020 κοινής απόφασης των Υπουργών Οικονομικών – Ναυτιλίας και Νησιωτικής Πολιτικής - Αγροτικής Ανάπτυξης και Τροφίμων «Τύπος και περιεχόμενο της δήλωσης απόδοσης τέλους ρυμουλκών και αλιευτικών πλοίων, με βάση τις διατάξεις του άρθρου 57 του ν. 4646/2019 (Α΄201), καθορισμός των δικαιολογητικών που συνυποβάλλονται με αυτή και κάθε άλλης αναγκαίας λεπτομέρειας για την εφαρμογή των διατάξεων αυτών» (Β’3860).</w:t>
      </w:r>
    </w:p>
    <w:p>
      <w:pPr>
        <w:pStyle w:val="PreambelText"/>
        <w:spacing w:before="240" w:after="240"/>
        <w:rPr>
          <w:lang w:val="el" w:eastAsia="el"/>
        </w:rPr>
      </w:pPr>
      <w:r>
        <w:rPr>
          <w:b/>
          <w:bCs/>
          <w:lang w:val="el" w:eastAsia="el"/>
        </w:rPr>
        <w:t xml:space="preserve">17. </w:t>
      </w:r>
      <w:r>
        <w:rPr>
          <w:b/>
          <w:bCs/>
          <w:lang w:val="el" w:eastAsia="el"/>
        </w:rPr>
        <w:t>Της υπό στοιχεία Α. 1078/10.6.2022 κοινής απόφασης των Υπουργών Οικονομικών – Ναυτιλίας και Νησιωτικής Πολιτικής - Αγροτικής Ανάπτυξης και Τροφίμων «Τροποποίηση του άρθρου 2 της υπό στοιχεία Α. 1192/19.8.2021 κοινής απόφασης των Υπουργών Οικονομικών, Ναυτιλίας και Νησιωτικής Πολιτικής και Αγροτικής Ανάπτυξης και Τροφίμων «Τροποποίηση της υπό στοιχεία Α. 1201/2020 (Β’3860) απόφασης των Υπουργών Οικονομικών, Ναυτιλίας και Νησιωτικής Πολιτικής και Αγροτικής Ανάπτυξης και Τροφίμων «Τύπος και περιεχόμενο της δήλωσης απόδοσης τέλους ρυμουλκών και αλιευτικών πλοίων, με βάση τις διατάξεις του άρθρου 57 του ν. 4646/2019 "Φορολογική μεταρρύθμιση με αναπτυξιακή διάσταση για την Ελλάδα του αύριο"(Α΄201), καθορισμός των δικαιολογητικών που συνυποβάλλονται με αυτή και κάθε άλλης αναγκαίας λεπτομέρειας για την εφαρμογή των διατάξεων αυτών» (Β’ 3212 και Β' 3562).</w:t>
      </w:r>
    </w:p>
    <w:p>
      <w:pPr>
        <w:pStyle w:val="PreambelText"/>
        <w:spacing w:before="240" w:after="240"/>
        <w:rPr>
          <w:lang w:val="el" w:eastAsia="el"/>
        </w:rPr>
      </w:pPr>
      <w:r>
        <w:rPr>
          <w:b/>
          <w:bCs/>
          <w:lang w:val="el" w:eastAsia="el"/>
        </w:rPr>
        <w:t xml:space="preserve">18. </w:t>
      </w:r>
      <w:r>
        <w:rPr>
          <w:b/>
          <w:bCs/>
          <w:lang w:val="el" w:eastAsia="el"/>
        </w:rPr>
        <w:t>Την από 19.12.2024 εισήγηση του Διοικητή της ΑΑΔΕ.</w:t>
      </w:r>
    </w:p>
    <w:p>
      <w:pPr>
        <w:pStyle w:val="PreambelText"/>
        <w:spacing w:before="240" w:after="240"/>
        <w:rPr>
          <w:lang w:val="el" w:eastAsia="el"/>
        </w:rPr>
      </w:pPr>
      <w:r>
        <w:rPr>
          <w:b/>
          <w:bCs/>
          <w:lang w:val="el" w:eastAsia="el"/>
        </w:rPr>
        <w:t xml:space="preserve">19. </w:t>
      </w:r>
      <w:r>
        <w:rPr>
          <w:b/>
          <w:bCs/>
          <w:lang w:val="el" w:eastAsia="el"/>
        </w:rPr>
        <w:t>Την ανάγκη καθορισμού των προϋποθέσεων αναγνώρισης της αργίας, των απαιτούμενων δικαιολογητικών και του τρόπου προσδιορισμού του χρόνου δραστηριοποίησης των ρυμουλκών και των αυτοκινούμενων βυθοκόρων στις θαλάσσιες μεταφορές, καθώς και κάθε άλλου σχετικού θέματος για την εφαρμογή των διατάξεων του άρθρου 57 του ν. 4646/2019.</w:t>
      </w:r>
    </w:p>
    <w:p>
      <w:pPr>
        <w:pStyle w:val="PreambelText"/>
        <w:spacing w:before="240" w:after="240"/>
        <w:rPr>
          <w:lang w:val="el" w:eastAsia="el"/>
        </w:rPr>
      </w:pPr>
      <w:r>
        <w:rPr>
          <w:b/>
          <w:bCs/>
          <w:lang w:val="el" w:eastAsia="el"/>
        </w:rPr>
        <w:t xml:space="preserve">20. </w:t>
      </w:r>
      <w:r>
        <w:rPr>
          <w:b/>
          <w:bCs/>
          <w:lang w:val="el" w:eastAsia="el"/>
        </w:rPr>
        <w:t>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b/>
          <w:bCs/>
          <w:lang w:val="el" w:eastAsia="el"/>
        </w:rPr>
        <w:t xml:space="preserve">21. </w:t>
      </w:r>
      <w:r>
        <w:rPr>
          <w:b/>
          <w:bCs/>
          <w:lang w:val="el" w:eastAsia="el"/>
        </w:rPr>
        <w:t>Το γεγονός ότι οι διατάξεις της παρούσας δεν αφορούν σε διοικητική διαδικασία για την οποία υπάρχει υποχρέωση καταχώρησης στο ΕΜΔΔ – ΜΙΤΟΣ.</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Τρόπος προσδιορισμού του χρόνου δραστηριοποίησης των ρυμουλκών και τωναυτοκινούμενων βυθοκόρων στις θαλάσσιες μεταφορές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την επιβολή του τέλους στα ρυμουλκά πλοία εξετάζεται ο χρόνος δραστηριοποίησής τους αμιγώς σε υπηρεσίες θαλάσσιων μεταφορών, ο οποίος πρέπει να μην υπερβαίνει το πενήντα τοις εκατό (50%) του συνολικού χρόνου δραστηριοποίησής τους μέσα στο έτος εκμετάλλευσης (φορολογικό έτος). Ο προσδιορισμός του χρόνου δραστηριοποίησης και του είδους των υπηρεσιών που παρασχέθηκαν στον χρόνο αυτό, καθώς και του χρόνου αναμονής του πλοίου μέσα στο έτος, γίνεται με βάση τα αναγραφόμενα στο θεωρημένο ημερολόγιο του πλοίου για το έτος αυτό. Ο χρόνος αναμονής των ρυμουλκών μέσα στο έτος εκμετάλλευσης εξομοιώνεται, κατ’ αναλογία με το είδος των υπηρεσιών που παρασχέθηκαν (θαλάσσιες μεταφορές ή μη) κατά τον χρόνο δραστηριοποίησης τους.</w:t>
      </w:r>
    </w:p>
    <w:p>
      <w:pPr>
        <w:spacing w:before="240" w:after="240"/>
        <w:rPr>
          <w:lang w:val="el" w:eastAsia="el"/>
        </w:rPr>
      </w:pPr>
      <w:r>
        <w:rPr>
          <w:b/>
          <w:bCs/>
          <w:lang w:val="el" w:eastAsia="el"/>
        </w:rPr>
        <w:t>Οι υπηρεσίες ρυμούλκησης που εκτελούνται σε λιμένες, καθώς και οι υπηρεσίες παροχής βοήθειας σε αυτοκινούμενο σκάφος, προκειμένου να προσλιμενιστεί ή να διέλθει διώρυγα δεν αποτελούν υπηρεσίες θαλάσσιων μεταφορών.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την επιβολή του τέλους στις αυτοκινούμενες βυθοκόρους εξετάζεται ο χρόνος δραστηριοποίησής τους μέσα στο έτος, αμιγώς σε υπηρεσίες θαλάσσιων μεταφορών ο οποίος πρέπει να μην υπερβαίνει το πενήντα τοις εκατό (50%) του συνολικού χρόνου δραστηριοποίησής τους.</w:t>
      </w:r>
    </w:p>
    <w:p>
      <w:pPr>
        <w:spacing w:before="240" w:after="240"/>
        <w:rPr>
          <w:lang w:val="el" w:eastAsia="el"/>
        </w:rPr>
      </w:pPr>
      <w:r>
        <w:rPr>
          <w:b/>
          <w:bCs/>
          <w:lang w:val="el" w:eastAsia="el"/>
        </w:rPr>
        <w:t>Ως δραστηριότητα υπηρεσιών θαλάσσιων μεταφορών θεωρείται ο πλους μεταξύ λιμένος και σημείου εκσκαφής, ο πλους μεταξύ διαφορετικών σημείων εκσκαφής, ο πλους μεταξύ του σημείου εκσκαφής και του σημείου όπου πρόκειται να εκφορτωθούν τα εκσκαφθέντα υλικά, η εκφόρτωση των εκσκαφθέντων υλικών και ο πλους μεταξύ του σημείου φόρτωσης και του λιμένα. Η εξόρυξη ή η καθ’ αυτή βυθοκόρηση και ο πλους κατά τη διάρκεια της βυθοκόρησης δεν αποτελούν υπηρεσίες θαλάσσιων μεταφορών. Για την παρακολούθηση του χρόνου όπου λαμβάνει χώρα κάθε μια από τις δραστηριότητες των αυτοκινούμενων βυθοκόρων ως αυτές ορίζονται στην παρ. 5 του άρθρου 57, απαιτείται η διακριτή καταγραφή αυτών στο θεωρημένο ημερολόγιο που τηρείται στα πλοία αυτά σε ημερήσια βάση. Ο χρόνος δραστηριοποίησής τους σε υπηρεσίες θαλάσσιων μεταφορών υπολογίζεται από τα αναγραφόμενα στο θεωρημένο ημερολόγιο του πλοίου μόνο για τις ημέρες δραστηριοποίησής τους χωρίς να λαμβάνεται υπόψη ο χρόνος αναμονής τους.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Προϋποθέσεις αναγνώρισης αργίας του πλοίου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πλήρους αποδεδειγμένης αργίας λόγω επισκευής ή έλλειψης εργασιών του πλοίου για χρονικό διάστημα άνω των είκοσι (20) συνεχών ημερών ανά έτος εκμετάλλευσης, το τέλος μειώνεται ανάλογα με τις ημέρες αργίας. Για τη μείωση αυτή απαιτείται η υποβολή σχετικής αίτησης στην αρμόδια για το πλοίο υπηρεσία της ΑΑΔΕ, καθώς και η έγκριση αυτής πριν την υποβολή της αρχικής εμπρόθεσμης δήλωσης απόδοσης του τέλους για το έτος που έλαβε χώρα η αργία. Με την υποβολή της σχετικής αίτησης στην αρμόδια υπηρεσία, συνυποβάλλεται πιστοποιητικό της αρμόδιας ελληνικής ή προξενικής αρχής ή ελλείψει αυτών πιστοποιητικό αλλοδαπής αρχής του τόπου ναυλοχίας του πλοίου επίσημα μεταφρασμένο και σε περίπτωση έλλειψης όλων των ανωτέρω θεωρημένο αντίγραφο του ημερολογίου του πλοίου, όπου προβλέπεται η τήρησή του από τις διατάξεις του Κ.Δ.Ν.Δ..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Ειδικά, για την αναγνώριση της αργίας λόγω έλλειψης εργασιών ή λόγω επισκευών στα υπό ελληνική σημαία αλιευτικά πλοία και πλοιάρια, απαιτείται η κατάθεση στις οικείες Λιμενικές Αρχές πριν την έναρξη της αργίας, του Εγγράφου Εθνικότητας ή της Άδειας Εκτέλεσης Πλόων ή του πιστοποιητικού αξιοπλοΐας αυτών, ήτοι, κατά περίπτωση του πιστοποιητικού Ασφάλειας ή Συμμόρφωσης ή Πρωτόκολλου Γενικής Επιθεώρησης (Π.Γ.Ε.).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τύπος και το περιεχόμενο του πιστοποιητικού αργίας αλιευτικών πλοίων και πλοιαρίων που τίθενται σε αργία έχει, όπως το σχετικό υπόδειγμα 3 το οποίο επισυνάπτεται στην παρούσα.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Υποβολή υπεύθυνης δήλωσης και κατάστασης όλων των ρυμουλκών πλοίων καιαυτοκινούμενων βυθοκόρων του πλοιοκτήτη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πλοιοκτήτες ρυμουλκών πλοίων και αυτοκινούμενων βυθοκόρων τα πλοία των οποίων είναι εγγεγραμμένα στο νηολόγιο ή λεμβολόγιο ή βιβλίο εγγραφής μικρών σκαφών (ΒΕΜΣ) ή ειδικό δημόσιο βιβλίο μικρών πλοίων (ΕΔΒΜΠ), την 31</w:t>
      </w:r>
      <w:r>
        <w:rPr>
          <w:b/>
          <w:bCs/>
          <w:sz w:val="30"/>
          <w:szCs w:val="30"/>
          <w:vertAlign w:val="superscript"/>
          <w:lang w:val="el" w:eastAsia="el"/>
        </w:rPr>
        <w:t>η</w:t>
      </w:r>
      <w:r>
        <w:rPr>
          <w:b/>
          <w:bCs/>
          <w:lang w:val="el" w:eastAsia="el"/>
        </w:rPr>
        <w:t xml:space="preserve"> Δεκεμβρίου κάθε έτους, υποχρεούνται μέχρι το τέλος Φεβρουαρίου του επόμενου έτους και πριν την υποβολή των δηλώσεων του τέλους της παρ. 1 του άρθρου 57 του ν. 4646/2019, να υποβάλλουν στην αρμόδια για το πλοίο υπηρεσία της ΑΑΔΕ, υπεύθυνη δήλωση συνοδευόμενη από κατάσταση με τα στοιχεία όλων των ρυμουλκών πλοίων και αυτοκινούμενων βυθοκόρων κυριότητάς τους, από την οποία να προκύπτουν τα υπαγόμενα και μη στο τέλος πλοία.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υπεύθυνη δήλωση υποβάλλεται από τον πλοιοκτήτη ή τον νόμιμο εκπρόσωπο στην περίπτωση νομικού προσώπου/νομικής οντότητας.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περιεχόμενο της υπεύθυνης δήλωσης και της κατάστασης ρυμουλκών και αυτοκινούμενων βυθοκόρων έχει όπως αυτό των συνημμένων υποδειγμάτων 1, 1α, 2 και 2β της παρούσας.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τα ρυμουλκά πλοία και τις αυτοκινούμενες βυθοκόρους με την υπεύθυνη δήλωση της παρ.3 συνυποβάλλεται αντίγραφο του θεωρημένου ημερολογίου του πλοίου από το οποίο προκύπτει ο χρόνος δραστηριοποίησής του σε υπηρεσίες θαλάσσιων μεταφορών και στην περίπτωση που υφίσταται νέα καταμέτρηση της ιπποδύναμης αυτού, συνυποβάλλονται επιπλέον: α) Aντίγραφο του εγγράφου εθνικότητας του πλοίου ή του πιστοποιητικού κυριότητας αυτού και</w:t>
      </w:r>
    </w:p>
    <w:p>
      <w:pPr>
        <w:pStyle w:val="StructureList1"/>
        <w:spacing w:before="120" w:after="0"/>
        <w:rPr>
          <w:lang w:val="el" w:eastAsia="el"/>
        </w:rPr>
      </w:pPr>
      <w:r>
        <w:rPr>
          <w:b/>
          <w:bCs/>
          <w:lang w:val="el" w:eastAsia="el"/>
        </w:rPr>
        <w:t>β)</w:t>
      </w:r>
      <w:r>
        <w:rPr>
          <w:b/>
          <w:bCs/>
          <w:lang w:val="en" w:eastAsia="en"/>
        </w:rPr>
        <w:tab/>
      </w:r>
      <w:r>
        <w:rPr>
          <w:b/>
          <w:bCs/>
          <w:lang w:val="el" w:eastAsia="el"/>
        </w:rPr>
        <w:t>αντίγραφο Πρωτοκόλλου Γενικής Επιθεώρησης (Π.Γ.Ε) ή Άδειας Εκτέλεσης Πλόων (Α.Ε.Π) του πλοίου, ώστε να αποτυπωθεί στη στήλη ΒΗΡ της κατάστασης πλοίων η τελευταία καταμέτρηση της ιπποδύναμής τους.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Τρόπος υποβολής της υπεύθυνης δήλωσης και της κατάστασης του άρθρου 3</w:t>
      </w:r>
    </w:p>
    <w:p>
      <w:pPr>
        <w:spacing w:before="240" w:after="240"/>
        <w:rPr>
          <w:lang w:val="el" w:eastAsia="el"/>
        </w:rPr>
      </w:pPr>
      <w:r>
        <w:rPr>
          <w:b/>
          <w:bCs/>
          <w:lang w:val="el" w:eastAsia="el"/>
        </w:rPr>
        <w:t>Οι υπεύθυνες δηλώσεις μαζί με τις συνημμένες καταστάσεις του άρθρου 3 υποβάλλονται στην αρμόδια για το πλοίο υπηρεσία της ΑΑΔΕ με αποστολή αιτήματος μέσω της εφαρμογής «Τα αιτήματά μου» στην ψηφιακή πύλη «myAADE» στο οποίο επισυνάπτονται αρχεία σάρωσης (scan) των υπεύθυνων δηλώσεων, των καταστάσεων και των δικαιολογητικών του άρθρου 3 είτε με αποστολή των ανωτέρω με φυσικό φάκελο είτε ταχυδρομικά με συστημένη επιστολή είτε με υπηρεσία ταχυμεταφοράς. Ως ημερομηνία υποβολής των υπεύθυνων δηλώσεων στην αρμόδια υπηρεσία θεωρείται κατά περίπτωση η ημερομηνία αποστολής του αιτήματος στην εφαρμογή «Τα αιτήματά μου» και εφόσον το αίτημα καταχωρηθεί στην εφαρμογή μέχρι το πέρας της τελευταίας ημέρας της καταληκτικής προθεσμίας, η υποβολή λαμβάνεται ως εμπρόθεσμη, ή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υπεύθυνης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υπεύθυνων δηλώσεων με κατάθεση στο γραφείο πρωτοκόλλου της αρμόδιας υπηρεσίας μέσω της εφαρμογής «Τα Ραντεβού μου» στην ψηφιακή πύλη myAADE με την οποία παρέχεται η δυνατότητα προγραμματισμού ραντεβού για την υποβολή των υπεύθυνων δηλώσεων.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5Καταργούμενες διατάξεις</w:t>
      </w:r>
    </w:p>
    <w:p>
      <w:pPr>
        <w:spacing w:before="240" w:after="240"/>
        <w:rPr>
          <w:lang w:val="el" w:eastAsia="el"/>
        </w:rPr>
      </w:pPr>
      <w:r>
        <w:rPr>
          <w:b/>
          <w:bCs/>
          <w:lang w:val="el" w:eastAsia="el"/>
        </w:rPr>
        <w:t>Από την έναρξη ισχύος της παρούσας παύουν να ισχύουν το άρθρο 4 της υπό στοιχεία Α. 1201/2020 (Β’3860) κοινής απόφασης των Υπουργών Οικονομικών, Ναυτιλίας και Νησιωτικής Πολιτικής και Αγροτικής Ανάπτυξης και Τροφίμων και η παρ. 2 του άρθρου 1 της Α. 1192/2021 (Β’3869) κοινής απόφασης των Υπουργών Οικονομικών, Ναυτιλίας και Νησιωτικής Πολιτικής και Αγροτικής Ανάπτυξης και Τροφίμων.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6Ισχύς της απόφασης – Μεταβατικές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προς τον τύπο και περιεχόμενο της δήλωσης, τη διαδικασία για τη βεβαίωση και είσπραξη του τέλους και κάθε άλλη αναγκαία λεπτομέρεια, για την απόδοση του τέλους του άρθρου 57 του ν.4646/2019 ισχύει η υπό στοιχεία Α. 1201/2020 (Β’3860) κοινή απόφαση, των Υπουργών Οικονομικών, Ναυτιλίας και Νησιωτικής Πολιτικής και Αγροτικής Ανάπτυξης και Τροφίμων.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Ειδικά, οι πλοιοκτήτες αυτοκινούμενων βυθοκόρων, υποχρεούνται ανεξάρτητα από τον χρόνο υποβολής των δηλώσεων του τέλους του άρθρου 57 του ν.4646/2019 να υποβάλλουν, χωρίς κυρώσεις, εντός μηνός από τη δημοσίευση της παρούσας, στην αρμόδια υπηρεσία, υπεύθυνη δήλωση συνοδευόμενη από κατάσταση με τα στοιχεία όλων των αυτοκινούμενων βυθοκόρων κυριότητάς τους στα έτη 2022 και 2023 </w:t>
      </w:r>
    </w:p>
    <w:p>
      <w:pPr>
        <w:spacing w:before="240" w:after="240"/>
        <w:rPr>
          <w:lang w:val="el" w:eastAsia="el"/>
        </w:rPr>
      </w:pPr>
      <w:r>
        <w:rPr>
          <w:b/>
          <w:bCs/>
          <w:lang w:val="el" w:eastAsia="el"/>
        </w:rPr>
        <w:t>από την οποία ναπροκύπτουν χωριστά τα υπαγόμενα και μη στο τέλος πλοία, σύμφωνα με τα οριζόμενα στο άρθρο 3.</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Tυχόν υπεύθυνες δηλώσεις και καταστάσεις οι οποίες υποβλήθηκαν για την εκμετάλλευση αυτοκινούμενων βυθοκόρων για τα έτη 2022 και 2023 με άλλο έντυπο πριν τη δημοσίευση της παρούσας, δεν απαιτείται να υποβληθούν εκ νέου.</w:t>
      </w:r>
    </w:p>
    <w:p>
      <w:pPr>
        <w:spacing w:before="240" w:after="240"/>
        <w:rPr>
          <w:lang w:val="el" w:eastAsia="el"/>
        </w:rPr>
      </w:pPr>
      <w:r>
        <w:rPr>
          <w:b/>
          <w:bCs/>
          <w:lang w:val="el" w:eastAsia="el"/>
        </w:rPr>
        <w:t>Τα υποδείγματα 1, 1α, 2, 2β και 3 της παρούσας αποτελούν αναπόσπαστο μέρος αυτής.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ΥΠΟΥΡΓΟΣ ΝΑΥΤΙΛΙΑΣ ΚΑΙΝΗΣΙΩΤΙΚΗΣ ΠΟΛΙΤΙΚΗΣ</w:t>
      </w:r>
    </w:p>
    <w:p>
      <w:pPr>
        <w:spacing w:before="240" w:after="240"/>
        <w:rPr>
          <w:lang w:val="el" w:eastAsia="el"/>
        </w:rPr>
      </w:pPr>
      <w:r>
        <w:rPr>
          <w:b/>
          <w:bCs/>
          <w:lang w:val="el" w:eastAsia="el"/>
        </w:rPr>
        <w:t>ΧΡΗΣΤΟΣ ΣΤΥΛΙΑΝΙΔΗΣ</w:t>
      </w:r>
    </w:p>
    <w:p>
      <w:pPr>
        <w:spacing w:before="240" w:after="240"/>
        <w:rPr>
          <w:lang w:val="el" w:eastAsia="el"/>
        </w:rPr>
      </w:pPr>
      <w:r>
        <w:rPr>
          <w:b/>
          <w:bCs/>
          <w:lang w:val="el" w:eastAsia="el"/>
        </w:rPr>
        <w:t>Ο ΥΦΥΠΟΥΡΓΟΣ ΑΓΡΟΤΙΚΗΣΑΝΑΠΤΥΞΗΣ ΚΑΙ ΤΡΟΦΙΜΩΝ</w:t>
      </w:r>
    </w:p>
    <w:p>
      <w:pPr>
        <w:spacing w:before="240" w:after="240"/>
        <w:rPr>
          <w:lang w:val="el" w:eastAsia="el"/>
        </w:rPr>
      </w:pPr>
      <w:r>
        <w:rPr>
          <w:b/>
          <w:bCs/>
          <w:lang w:val="el" w:eastAsia="el"/>
        </w:rPr>
        <w:t>ΧΡΗΣΤΟΣ ΚΕΛΛΑΣ</w:t>
      </w:r>
    </w:p>
    <w:p>
      <w:pPr>
        <w:spacing w:before="240" w:after="240"/>
        <w:rPr>
          <w:lang w:val="el" w:eastAsia="el"/>
        </w:rPr>
      </w:pPr>
      <w:r>
        <w:rPr>
          <w:b/>
          <w:bCs/>
          <w:u w:val="single"/>
          <w:lang w:val="el" w:eastAsia="el"/>
        </w:rPr>
        <w:t>ΣΥΝΗΜΜΕΝΑ:</w:t>
      </w:r>
      <w:r>
        <w:rPr>
          <w:b/>
          <w:bCs/>
          <w:lang w:val="el" w:eastAsia="el"/>
        </w:rPr>
        <w:t xml:space="preserve"> Τα υποδείγματα 1, 1α, 2, 2β και 3 της παρούσας.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(πλην 2)</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Επιχειρησιακή Διεύθυνση ΣΔΟΕ Αττικής - Επιχειρησιακή Διεύθυνση ΣΔΟΕ Μακεδονίας</w:t>
      </w:r>
    </w:p>
    <w:p>
      <w:pPr>
        <w:spacing w:before="240" w:after="240"/>
        <w:rPr>
          <w:lang w:val="el" w:eastAsia="el"/>
        </w:rPr>
      </w:pPr>
      <w:r>
        <w:rPr>
          <w:b/>
          <w:bCs/>
          <w:lang w:val="el" w:eastAsia="el"/>
        </w:rPr>
        <w:t xml:space="preserve">4. </w:t>
      </w:r>
      <w:r>
        <w:rPr>
          <w:b/>
          <w:bCs/>
          <w:lang w:val="el" w:eastAsia="el"/>
        </w:rPr>
        <w:t>Δ/νση Στρατηγικής Τεχνολογιών Πληροφορικής</w:t>
      </w:r>
    </w:p>
    <w:p>
      <w:pPr>
        <w:spacing w:before="240" w:after="240"/>
        <w:rPr>
          <w:lang w:val="el" w:eastAsia="el"/>
        </w:rPr>
      </w:pPr>
      <w:r>
        <w:rPr>
          <w:b/>
          <w:bCs/>
          <w:lang w:val="el" w:eastAsia="el"/>
        </w:rPr>
        <w:t xml:space="preserve">5. </w:t>
      </w:r>
      <w:r>
        <w:rPr>
          <w:b/>
          <w:bCs/>
          <w:lang w:val="el" w:eastAsia="el"/>
        </w:rPr>
        <w:t>Εθνικό Τυπογραφείο</w:t>
      </w:r>
    </w:p>
    <w:p>
      <w:pPr>
        <w:spacing w:before="240" w:after="240"/>
        <w:rPr>
          <w:lang w:val="el" w:eastAsia="el"/>
        </w:rPr>
      </w:pPr>
      <w:r>
        <w:rPr>
          <w:b/>
          <w:bCs/>
          <w:u w:val="single"/>
          <w:lang w:val="el" w:eastAsia="el"/>
        </w:rPr>
        <w:t xml:space="preserve">II.ΑΠΟΔΕΚΤΕΣ </w:t>
      </w:r>
      <w:r>
        <w:rPr>
          <w:b/>
          <w:bCs/>
          <w:u w:val="single"/>
          <w:lang w:val="el" w:eastAsia="el"/>
        </w:rPr>
        <w:t>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Γεν. Γραμ. Φορολογικής Πολιτικής</w:t>
      </w:r>
    </w:p>
    <w:p>
      <w:pPr>
        <w:spacing w:before="240" w:after="240"/>
        <w:rPr>
          <w:lang w:val="el" w:eastAsia="el"/>
        </w:rPr>
      </w:pPr>
      <w:r>
        <w:rPr>
          <w:b/>
          <w:bCs/>
          <w:lang w:val="el" w:eastAsia="el"/>
        </w:rPr>
        <w:t xml:space="preserve">4. </w:t>
      </w:r>
      <w:r>
        <w:rPr>
          <w:b/>
          <w:bCs/>
          <w:lang w:val="el" w:eastAsia="el"/>
        </w:rPr>
        <w:t>Αποδέκτες πινάκων Α΄, Β΄ (εκτός των αριθ. 1 και 2 αυτού), Ζ΄, Η΄ (πλην 4,10 και 11) Θ΄</w:t>
      </w:r>
    </w:p>
    <w:p>
      <w:pPr>
        <w:spacing w:before="240" w:after="240"/>
        <w:rPr>
          <w:lang w:val="el" w:eastAsia="el"/>
        </w:rPr>
      </w:pPr>
      <w:r>
        <w:rPr>
          <w:b/>
          <w:bCs/>
          <w:lang w:val="el" w:eastAsia="el"/>
        </w:rPr>
        <w:t>Ι΄, ΙΒ΄(5 και 7), ΙΣΤ΄(το 2) και ΚΓ΄</w:t>
      </w:r>
    </w:p>
    <w:p>
      <w:pPr>
        <w:spacing w:before="240" w:after="240"/>
        <w:rPr>
          <w:lang w:val="el" w:eastAsia="el"/>
        </w:rPr>
      </w:pPr>
      <w:r>
        <w:rPr>
          <w:b/>
          <w:bCs/>
          <w:lang w:val="el" w:eastAsia="el"/>
        </w:rPr>
        <w:t xml:space="preserve">5. </w:t>
      </w:r>
      <w:r>
        <w:rPr>
          <w:b/>
          <w:bCs/>
          <w:lang w:val="el" w:eastAsia="el"/>
        </w:rPr>
        <w:t>ΔΤΔ-Εγκεκριμένοι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b/>
          <w:bCs/>
          <w:lang w:val="el" w:eastAsia="el"/>
        </w:rPr>
        <w:t xml:space="preserve">7. </w:t>
      </w:r>
      <w:r>
        <w:rPr>
          <w:b/>
          <w:bCs/>
          <w:lang w:val="el" w:eastAsia="el"/>
        </w:rPr>
        <w:t>Υπουργείο Αγροτικής Ανάπτυξης και Τροφίμων</w:t>
      </w:r>
    </w:p>
    <w:p>
      <w:pPr>
        <w:spacing w:before="240" w:after="240"/>
        <w:rPr>
          <w:lang w:val="el" w:eastAsia="el"/>
        </w:rPr>
      </w:pPr>
      <w:r>
        <w:rPr>
          <w:b/>
          <w:bCs/>
          <w:lang w:val="el" w:eastAsia="el"/>
        </w:rPr>
        <w:t>Αχαρνών 2, 101 76 Αθήνα</w:t>
      </w:r>
    </w:p>
    <w:p>
      <w:pPr>
        <w:spacing w:before="240" w:after="240"/>
        <w:rPr>
          <w:lang w:val="el" w:eastAsia="el"/>
        </w:rPr>
      </w:pPr>
      <w:r>
        <w:rPr>
          <w:b/>
          <w:bCs/>
          <w:lang w:val="el" w:eastAsia="el"/>
        </w:rPr>
        <w:t xml:space="preserve">8. </w:t>
      </w:r>
      <w:r>
        <w:rPr>
          <w:b/>
          <w:bCs/>
          <w:lang w:val="el" w:eastAsia="el"/>
        </w:rPr>
        <w:t>Υπουργείο Αγροτικής Ανάπτυξης και Τροφίμων</w:t>
      </w:r>
    </w:p>
    <w:p>
      <w:pPr>
        <w:spacing w:before="240" w:after="240"/>
        <w:rPr>
          <w:lang w:val="el" w:eastAsia="el"/>
        </w:rPr>
      </w:pPr>
      <w:r>
        <w:rPr>
          <w:b/>
          <w:bCs/>
          <w:lang w:val="el" w:eastAsia="el"/>
        </w:rPr>
        <w:t>Γεν. Διεύθυνση Αλιείας</w:t>
      </w:r>
    </w:p>
    <w:p>
      <w:pPr>
        <w:spacing w:before="240" w:after="240"/>
        <w:rPr>
          <w:lang w:val="el" w:eastAsia="el"/>
        </w:rPr>
      </w:pPr>
      <w:r>
        <w:rPr>
          <w:b/>
          <w:bCs/>
          <w:lang w:val="el" w:eastAsia="el"/>
        </w:rPr>
        <w:t>Λεωφ. Συγγρού 150, Τ.Κ. 17671 Καλλιθέα</w:t>
      </w:r>
    </w:p>
    <w:p>
      <w:pPr>
        <w:spacing w:before="240" w:after="240"/>
        <w:rPr>
          <w:lang w:val="el" w:eastAsia="el"/>
        </w:rPr>
      </w:pPr>
      <w:r>
        <w:rPr>
          <w:b/>
          <w:bCs/>
          <w:lang w:val="el" w:eastAsia="el"/>
        </w:rPr>
        <w:t xml:space="preserve">9.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 xml:space="preserve">10. </w:t>
      </w:r>
      <w:r>
        <w:rPr>
          <w:b/>
          <w:bCs/>
          <w:lang w:val="el" w:eastAsia="el"/>
        </w:rPr>
        <w:t>ΠΕΡΙΟΔΙΚΟ «ΦΟΡΟΛΟΓΙΚΗ ΕΠΙΘΕΩΡΗΣΗ»</w:t>
      </w:r>
    </w:p>
    <w:p>
      <w:pPr>
        <w:spacing w:before="240" w:after="240"/>
        <w:rPr>
          <w:lang w:val="el" w:eastAsia="el"/>
        </w:rPr>
      </w:pPr>
      <w:r>
        <w:rPr>
          <w:b/>
          <w:bCs/>
          <w:lang w:val="el" w:eastAsia="el"/>
        </w:rPr>
        <w:t xml:space="preserve">III.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Γενικού Διευθυντή Φορολογίας</w:t>
      </w:r>
    </w:p>
    <w:p>
      <w:pPr>
        <w:spacing w:before="240" w:after="240"/>
        <w:rPr>
          <w:lang w:val="el" w:eastAsia="el"/>
        </w:rPr>
      </w:pPr>
      <w:r>
        <w:rPr>
          <w:b/>
          <w:bCs/>
          <w:lang w:val="el" w:eastAsia="el"/>
        </w:rPr>
        <w:t xml:space="preserve">3. </w:t>
      </w:r>
      <w:r>
        <w:rPr>
          <w:b/>
          <w:bCs/>
          <w:lang w:val="el" w:eastAsia="el"/>
        </w:rPr>
        <w:t>Γραφεία Γενικών Διευθυντών</w:t>
      </w:r>
    </w:p>
    <w:p>
      <w:pPr>
        <w:spacing w:before="240" w:after="240"/>
        <w:rPr>
          <w:lang w:val="el" w:eastAsia="el"/>
        </w:rPr>
      </w:pPr>
      <w:r>
        <w:rPr>
          <w:b/>
          <w:bCs/>
          <w:lang w:val="el" w:eastAsia="el"/>
        </w:rPr>
        <w:t xml:space="preserve">4. </w:t>
      </w:r>
      <w:r>
        <w:rPr>
          <w:b/>
          <w:bCs/>
          <w:lang w:val="el" w:eastAsia="el"/>
        </w:rPr>
        <w:t>Διεύθυνση Νομικής Υποστήριξης της Α.Α.Δ.Ε.</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6. </w:t>
      </w:r>
      <w:r>
        <w:rPr>
          <w:b/>
          <w:bCs/>
          <w:lang w:val="el" w:eastAsia="el"/>
        </w:rPr>
        <w:t>Διεύθυνση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