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6Τ2Ω46ΜΠ3Ζ-4ΛΑ</w:t>
      </w:r>
    </w:p>
    <w:p>
      <w:pPr>
        <w:pStyle w:val="Title"/>
        <w:spacing w:before="120" w:after="360"/>
        <w:rPr>
          <w:lang w:val="el" w:eastAsia="el"/>
        </w:rPr>
      </w:pPr>
      <w:r>
        <w:rPr>
          <w:b/>
          <w:bCs/>
          <w:lang w:val="el" w:eastAsia="el"/>
        </w:rPr>
        <w:t>ΦΕΚ: Β’ 429/7.2.2025</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17778 Ταύρος</w:t>
      </w:r>
    </w:p>
    <w:p>
      <w:pPr>
        <w:spacing w:before="240" w:after="240"/>
        <w:rPr>
          <w:lang w:val="el" w:eastAsia="el"/>
        </w:rPr>
      </w:pPr>
      <w:r>
        <w:rPr>
          <w:b/>
          <w:bCs/>
          <w:lang w:val="el" w:eastAsia="el"/>
        </w:rPr>
        <w:t>213 1410248,228</w:t>
      </w:r>
    </w:p>
    <w:p>
      <w:pPr>
        <w:spacing w:before="240" w:after="240"/>
        <w:rPr>
          <w:lang w:val="el" w:eastAsia="el"/>
        </w:rPr>
      </w:pPr>
      <w:hyperlink r:id="rId4" w:history="1">
        <w:r>
          <w:rPr>
            <w:rStyle w:val="Hyperlink"/>
            <w:b/>
            <w:bCs/>
            <w:color w:val="0000EE"/>
            <w:u w:color="0000EE"/>
            <w:lang w:val="el" w:eastAsia="el"/>
          </w:rPr>
          <w:t>deaf.c@aade.gr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ΠΟΛ. 1022/16.2.2017 απόφασης Διοικητή της Ανεξάρτητης Αρχής Δημοσίων Εσόδων (ΑΑΔΕ) «Τύπος και περιεχόμενο των δηλώσεων φόρου πλοίων πρώτης κατηγορίας του ν.27/1975 (Α΄77) φορολογικών ετών 2017 και μετά, υποβολή αυτών με χρήση ηλεκτρονικής μεθόδου επικοινωνίας μέσω διαδικτύου και καθορισμός των δικαιολογητικών (Β΄492)».</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26 και 27 του άρθρου 83 του ν. 5104/2024 «Κώδικας Φορολογικής Διαδικασίας και άλλες διατάξεις» (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ιδίως των άρθρων 14, 26, 26</w:t>
      </w:r>
      <w:r>
        <w:rPr>
          <w:b/>
          <w:bCs/>
          <w:sz w:val="30"/>
          <w:szCs w:val="30"/>
          <w:vertAlign w:val="superscript"/>
          <w:lang w:val="el" w:eastAsia="el"/>
        </w:rPr>
        <w:t>α</w:t>
      </w:r>
      <w:r>
        <w:rPr>
          <w:b/>
          <w:bCs/>
          <w:lang w:val="el" w:eastAsia="el"/>
        </w:rPr>
        <w:t>, 26β και 26δ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τις λοιπές διατάξεις του ν. 5104/2024 «Κώδικας Φορολογικής Διαδικασίας και άλλες διατάξεις» ( Α΄58), εφεξής Κ.Φ.Δ.,</w:t>
      </w:r>
    </w:p>
    <w:p>
      <w:pPr>
        <w:pStyle w:val="StructureList1"/>
        <w:spacing w:before="120" w:after="0"/>
        <w:rPr>
          <w:lang w:val="el" w:eastAsia="el"/>
        </w:rPr>
      </w:pPr>
      <w:r>
        <w:rPr>
          <w:lang w:val="el" w:eastAsia="el"/>
        </w:rPr>
        <w:t>ε)</w:t>
      </w:r>
      <w:r>
        <w:rPr>
          <w:lang w:val="en" w:eastAsia="en"/>
        </w:rPr>
        <w:tab/>
      </w:r>
      <w:r>
        <w:rPr>
          <w:b/>
          <w:bCs/>
          <w:lang w:val="el" w:eastAsia="el"/>
        </w:rPr>
        <w:t>του άρθρου 122 του ν.4446/22.12.2016 (Α΄240),</w:t>
      </w:r>
    </w:p>
    <w:p>
      <w:pPr>
        <w:pStyle w:val="StructureList1"/>
        <w:spacing w:before="120" w:after="0"/>
        <w:rPr>
          <w:lang w:val="el" w:eastAsia="el"/>
        </w:rPr>
      </w:pPr>
      <w:r>
        <w:rPr>
          <w:lang w:val="el" w:eastAsia="el"/>
        </w:rPr>
        <w:t>στ)</w:t>
      </w:r>
      <w:r>
        <w:rPr>
          <w:lang w:val="en" w:eastAsia="en"/>
        </w:rPr>
        <w:tab/>
      </w:r>
      <w:r>
        <w:rPr>
          <w:b/>
          <w:bCs/>
          <w:lang w:val="el" w:eastAsia="el"/>
        </w:rPr>
        <w:t>του άρθρου 13 του ν.δ. 2687/1953 ( Α΄317),</w:t>
      </w:r>
    </w:p>
    <w:p>
      <w:pPr>
        <w:pStyle w:val="StructureList1"/>
        <w:spacing w:before="120" w:after="0"/>
        <w:rPr>
          <w:lang w:val="el" w:eastAsia="el"/>
        </w:rPr>
      </w:pPr>
      <w:r>
        <w:rPr>
          <w:lang w:val="el" w:eastAsia="el"/>
        </w:rPr>
        <w:t>ζ)</w:t>
      </w:r>
      <w:r>
        <w:rPr>
          <w:lang w:val="en" w:eastAsia="en"/>
        </w:rPr>
        <w:tab/>
      </w:r>
      <w:r>
        <w:rPr>
          <w:b/>
          <w:bCs/>
          <w:lang w:val="el" w:eastAsia="el"/>
        </w:rPr>
        <w:t>των παρ.1 και 2 του άρθρου 18 του ν. 3522/2006 «Μεταβολές στη φορολογία εισοδήματος, απλουστεύσεις στον Κώδικα Βιβλίων και Στοιχείων και άλλες διατάξεις» (Α΄276),</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ΠΟΛ. 1022/16.2.2017 απόφασης του Διοικητή της ΑΑΔΕ «Τύπος και περιεχόμενο των δηλώσεων φόρου πλοίων πρώτης κατηγορίας του ν.27/1975 (Α΄77/1975) φορολογικών ετών 2017 και μετά, υποβολή αυτών με την χρήση ηλεκτρονικής μεθόδου επικοινωνίας μέσω διαδικτύου και καθορισμός δικαιολογητικών» (Β΄492) και</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 Εθνικής Οικονομίας και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Την ανάγκη επικαιροποίησης της εφαρμογής ηλεκτρονικής υποβολής δηλώσεων φόρου πλοίων πρώτης κατηγορίας του ν. 27/1975 και για τις περιπτώσεις «αλλαγής σημαίας πλοίου».</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5.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ΠΟΛ.1022/2017 απόφαση του Διοικητή της ΑΑΔΕ «Τύπος και περιεχόμενο των δηλώσεων φόρου πλοίων πρώτης κατηγορίας του ν.27/1975 (Α΄77) φορολογικών ετών 2017 και μετά, υποβολή αυτών με την χρήση ηλεκτρονικής μεθόδου επικοινωνίας μέσω διαδικτύου και καθορισμός δικαιολογητικών», ως ακολούθως:</w:t>
      </w:r>
    </w:p>
    <w:p>
      <w:pPr>
        <w:spacing w:before="240" w:after="240"/>
        <w:rPr>
          <w:lang w:val="el" w:eastAsia="el"/>
        </w:rPr>
      </w:pPr>
      <w:r>
        <w:rPr>
          <w:b/>
          <w:bCs/>
          <w:lang w:val="el" w:eastAsia="el"/>
        </w:rPr>
        <w:t>Η παρ. 11 του άρθρου 2 αντικαθίσταται ως εξής:</w:t>
      </w:r>
    </w:p>
    <w:p>
      <w:pPr>
        <w:spacing w:before="240" w:after="240"/>
        <w:rPr>
          <w:lang w:val="el" w:eastAsia="el"/>
        </w:rPr>
      </w:pPr>
      <w:r>
        <w:rPr>
          <w:lang w:val="el" w:eastAsia="el"/>
        </w:rPr>
        <w:t xml:space="preserve">«1 </w:t>
      </w:r>
      <w:r>
        <w:rPr>
          <w:b/>
          <w:bCs/>
          <w:lang w:val="el" w:eastAsia="el"/>
        </w:rPr>
        <w:t>1. Η δήλωση φόρου πλοίων πρώτης κατηγορίας υποβάλλεται για ολόκληρο το τρέχον έτος, εντός των οριζομένων από τον ν. 27/1975 προθεσμιών, όπως αναλυτικά αναφέρονται στο άρθρο 4 της παρούσης. Σε περίπτωση που κατά τη διάρκεια του τρέχοντος έτους συμβούν τα κάτωθι αναφερόμενα γεγονότα, τα οποία δύνανται να μεταβάλουν τη φορολογική υποχρέωση και τον τελικώς οφειλόμενο ετήσιο φόρο, οι μεταβολές δηλώνονται από τους φορολογούμενους ηλεκτρονικά μέσω υποβολής τροποποιητικών δηλώσεων. Κατά την υποβολή των δηλώσεων αυτών δεν επιβάλλονται τα πρόστιμα του άρθρου 53 του ν. 5104/2024 (ΚΦΔ), καθόσον οι εν λόγω μεταβολές δεν οφείλονται σε λάθος ή παράλειψη των φορολογούμενων, αλλά σε πραγματικά γεγονότα τα οποία συμβαίνουν μετά τις προθεσμίες υποβολής της σχετικής αρχικής δήλωσης.</w:t>
      </w:r>
    </w:p>
    <w:p>
      <w:pPr>
        <w:spacing w:before="240" w:after="240"/>
        <w:rPr>
          <w:lang w:val="el" w:eastAsia="el"/>
        </w:rPr>
      </w:pPr>
      <w:r>
        <w:rPr>
          <w:b/>
          <w:bCs/>
          <w:lang w:val="el" w:eastAsia="el"/>
        </w:rPr>
        <w:t>Τα γεγονότα αυτά είναι:</w:t>
      </w:r>
    </w:p>
    <w:p>
      <w:pPr>
        <w:spacing w:before="240" w:after="240"/>
        <w:rPr>
          <w:lang w:val="el" w:eastAsia="el"/>
        </w:rPr>
      </w:pPr>
      <w:r>
        <w:rPr>
          <w:b/>
          <w:bCs/>
          <w:lang w:val="el" w:eastAsia="el"/>
        </w:rPr>
        <w:t>α) Διαγραφή του πλοίου από τα ελληνικά νηολόγια.</w:t>
      </w:r>
    </w:p>
    <w:p>
      <w:pPr>
        <w:spacing w:before="240" w:after="240"/>
        <w:rPr>
          <w:lang w:val="el" w:eastAsia="el"/>
        </w:rPr>
      </w:pPr>
      <w:r>
        <w:rPr>
          <w:b/>
          <w:bCs/>
          <w:lang w:val="el" w:eastAsia="el"/>
        </w:rPr>
        <w:t>β) Διακοπή της διαχείρισης από την Ελλάδα πλοίου υπό ξένη σημαία.</w:t>
      </w:r>
    </w:p>
    <w:p>
      <w:pPr>
        <w:spacing w:before="240" w:after="240"/>
        <w:rPr>
          <w:lang w:val="el" w:eastAsia="el"/>
        </w:rPr>
      </w:pPr>
      <w:r>
        <w:rPr>
          <w:b/>
          <w:bCs/>
          <w:lang w:val="el" w:eastAsia="el"/>
        </w:rPr>
        <w:t>γ) Διακοπή της εκμετάλλευσης στην Ελλάδα πλοίου υπό σημαία Ε.Ε και Ε.Ο.Χ. πλην της ελληνικής.</w:t>
      </w:r>
    </w:p>
    <w:p>
      <w:pPr>
        <w:spacing w:before="240" w:after="240"/>
        <w:rPr>
          <w:lang w:val="el" w:eastAsia="el"/>
        </w:rPr>
      </w:pPr>
      <w:r>
        <w:rPr>
          <w:b/>
          <w:bCs/>
          <w:lang w:val="el" w:eastAsia="el"/>
        </w:rPr>
        <w:t>δ) Αλλαγή πλοιοκτήτριας εταιρείας πλοίου είτε υπό ελληνική είτε υπό σημαία Ε.Ε και Ε.Ο.Χ. πλην της ελληνικής είτε υπό ξένη σημαία.</w:t>
      </w:r>
    </w:p>
    <w:p>
      <w:pPr>
        <w:spacing w:before="240" w:after="240"/>
        <w:rPr>
          <w:lang w:val="el" w:eastAsia="el"/>
        </w:rPr>
      </w:pPr>
      <w:r>
        <w:rPr>
          <w:b/>
          <w:bCs/>
          <w:lang w:val="el" w:eastAsia="el"/>
        </w:rPr>
        <w:t>ε) Αλλαγή διαχειρίστριας εταιρείας στην οποία η πλοιοκτήτρια εταιρεία είχε αναθέσει την διαχείριση πλοίου υπό ξένη σημαία ή υπό σημαία Ε.Ε και Ε.Ο.Χ. πλην της ελληνικής.</w:t>
      </w:r>
    </w:p>
    <w:p>
      <w:pPr>
        <w:spacing w:before="240" w:after="240"/>
        <w:rPr>
          <w:lang w:val="el" w:eastAsia="el"/>
        </w:rPr>
      </w:pPr>
      <w:r>
        <w:rPr>
          <w:b/>
          <w:bCs/>
          <w:lang w:val="el" w:eastAsia="el"/>
        </w:rPr>
        <w:t>στ) Καταβολή φόρου χωρητικότητας στην αλλοδαπή για πλοία με ξένη σημαία του άρθρου 26 του ν.27/1975.</w:t>
      </w:r>
    </w:p>
    <w:p>
      <w:pPr>
        <w:spacing w:before="240" w:after="240"/>
        <w:rPr>
          <w:lang w:val="el" w:eastAsia="el"/>
        </w:rPr>
      </w:pPr>
      <w:r>
        <w:rPr>
          <w:b/>
          <w:bCs/>
          <w:lang w:val="el" w:eastAsia="el"/>
        </w:rPr>
        <w:t>ζ) Επίσημη καταμέτρηση του πλοίου, από την αρμόδια υπηρεσία του Υ.ΝΑ.Ν.Π. για την αλλαγή των Κ.Ο.Χ. αυτού.</w:t>
      </w:r>
    </w:p>
    <w:p>
      <w:pPr>
        <w:spacing w:before="240" w:after="240"/>
        <w:rPr>
          <w:lang w:val="el" w:eastAsia="el"/>
        </w:rPr>
      </w:pPr>
      <w:r>
        <w:rPr>
          <w:b/>
          <w:bCs/>
          <w:lang w:val="el" w:eastAsia="el"/>
        </w:rPr>
        <w:t>η) Αιτούμενη αργία του πλοίου, με βάση τα οριζόμενα στις διατάξεις του άρθρου 5 του ν.27/1975.</w:t>
      </w:r>
    </w:p>
    <w:p>
      <w:pPr>
        <w:spacing w:before="240" w:after="240"/>
        <w:rPr>
          <w:lang w:val="el" w:eastAsia="el"/>
        </w:rPr>
      </w:pPr>
      <w:r>
        <w:rPr>
          <w:b/>
          <w:bCs/>
          <w:lang w:val="el" w:eastAsia="el"/>
        </w:rPr>
        <w:t>θ) Αλλαγή σημαίας πλοίου.»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καταλαμβάνει τροποποιητικές δηλώσεις που υποβάλλονται για τα φορολογικά έτη 2024 και επόμενα.</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Επιχειρησιακή Δ/νση ΣΔΟΕ Αττικής – Επιχειρησιακή Δ/νση ΣΔΟΕ Μακεδονίας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Στρατηγικής Τεχνολογιών Πληροφορικής</w:t>
      </w:r>
    </w:p>
    <w:p>
      <w:pPr>
        <w:pStyle w:val="MainText"/>
        <w:spacing w:before="120" w:after="0"/>
        <w:rPr>
          <w:lang w:val="el" w:eastAsia="el"/>
        </w:rPr>
      </w:pPr>
      <w:r>
        <w:rPr>
          <w:b/>
          <w:bCs/>
          <w:lang w:val="el" w:eastAsia="el"/>
        </w:rPr>
        <w:t>5.</w:t>
      </w:r>
      <w:r>
        <w:rPr>
          <w:lang w:val="el" w:eastAsia="el"/>
        </w:rPr>
        <w:t xml:space="preserve"> </w:t>
      </w:r>
      <w:r>
        <w:rPr>
          <w:b/>
          <w:bCs/>
          <w:lang w:val="el" w:eastAsia="el"/>
        </w:rPr>
        <w:t>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κας Γενικής Γραμματέως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Η΄ (εκτός 4,10 και 11)</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ΙΒ΄(5 και 7)</w:t>
      </w:r>
    </w:p>
    <w:p>
      <w:pPr>
        <w:pStyle w:val="MainText"/>
        <w:spacing w:before="120" w:after="0"/>
        <w:rPr>
          <w:lang w:val="el" w:eastAsia="el"/>
        </w:rPr>
      </w:pPr>
      <w:r>
        <w:rPr>
          <w:b/>
          <w:bCs/>
          <w:lang w:val="el" w:eastAsia="el"/>
        </w:rPr>
        <w:t>6.</w:t>
      </w:r>
      <w:r>
        <w:rPr>
          <w:lang w:val="el" w:eastAsia="el"/>
        </w:rPr>
        <w:t xml:space="preserve"> </w:t>
      </w:r>
      <w:r>
        <w:rPr>
          <w:b/>
          <w:bCs/>
          <w:lang w:val="el" w:eastAsia="el"/>
        </w:rPr>
        <w:t>Αποδέκτες πίνακα ΚΓ΄</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Γραφεία κ.κ. Γενικών Διευθυντών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5.</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Προϊσταμένου Διεύθυνσης Άμεσης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Δ/νση Εφαρμογής Άμεσης Φορολογίας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