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pStyle w:val="Title"/>
        <w:spacing w:before="120" w:after="360"/>
        <w:rPr>
          <w:lang w:val="el" w:eastAsia="el"/>
        </w:rPr>
      </w:pPr>
      <w:r>
        <w:rPr>
          <w:b/>
          <w:bCs/>
          <w:lang w:val="el" w:eastAsia="el"/>
        </w:rPr>
        <w:t>ΑΛΑΕ</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lang w:val="el" w:eastAsia="el"/>
        </w:rPr>
        <w:t xml:space="preserve">I. </w:t>
      </w:r>
      <w:r>
        <w:rPr>
          <w:b/>
          <w:bCs/>
          <w:lang w:val="el" w:eastAsia="el"/>
        </w:rPr>
        <w:t>ΓΕΝΙΚΗ ΔΙΕΥΘΥΝΣΗ ΦΟΡΟΛΟΓΙΑΣ</w:t>
      </w:r>
    </w:p>
    <w:p>
      <w:pPr>
        <w:pStyle w:val="Title"/>
        <w:spacing w:before="120" w:after="360"/>
        <w:rPr>
          <w:lang w:val="el" w:eastAsia="el"/>
        </w:rPr>
      </w:pPr>
      <w:r>
        <w:rPr>
          <w:lang w:val="el" w:eastAsia="el"/>
        </w:rPr>
        <w:t xml:space="preserve">1. </w:t>
      </w:r>
      <w:r>
        <w:rPr>
          <w:b/>
          <w:bCs/>
          <w:lang w:val="el" w:eastAsia="el"/>
        </w:rPr>
        <w:t>ΔΙΕΥΘΥΝΣΗ ΕΦΑΡΜΟΓΗΣ ΕΜΜΕΣΗΣ</w:t>
      </w:r>
    </w:p>
    <w:p>
      <w:pPr>
        <w:pStyle w:val="Title"/>
        <w:spacing w:before="120" w:after="360"/>
        <w:rPr>
          <w:lang w:val="el" w:eastAsia="el"/>
        </w:rPr>
      </w:pPr>
      <w:r>
        <w:rPr>
          <w:b/>
          <w:bCs/>
          <w:lang w:val="el" w:eastAsia="el"/>
        </w:rPr>
        <w:t>ΦΟΡΟΛΟΓΙΑΣ - ΤΜΗΜΑ Α΄</w:t>
      </w:r>
    </w:p>
    <w:p>
      <w:pPr>
        <w:pStyle w:val="Title"/>
        <w:spacing w:before="120" w:after="360"/>
        <w:rPr>
          <w:lang w:val="el" w:eastAsia="el"/>
        </w:rPr>
      </w:pPr>
      <w:r>
        <w:rPr>
          <w:lang w:val="el" w:eastAsia="el"/>
        </w:rPr>
        <w:t xml:space="preserve">2. </w:t>
      </w:r>
      <w:r>
        <w:rPr>
          <w:b/>
          <w:bCs/>
          <w:lang w:val="el" w:eastAsia="el"/>
        </w:rPr>
        <w:t>ΔΙΕΥΘΥΝΣΗ ΕΛΕΓΚΤΙΚΩΝ ΔΙΑΔΙΚΑΣΙΩΝ –</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ΨΗΦΙΑΚΗΣ ΑΠΕΙΚΟΝΙΣΗΣ</w:t>
      </w:r>
    </w:p>
    <w:p>
      <w:pPr>
        <w:spacing w:before="240" w:after="240"/>
        <w:rPr>
          <w:lang w:val="el" w:eastAsia="el"/>
        </w:rPr>
      </w:pPr>
      <w:r>
        <w:rPr>
          <w:b/>
          <w:bCs/>
          <w:lang w:val="el" w:eastAsia="el"/>
        </w:rPr>
        <w:t>ΣΥΝΑΛΛΑΓΩΝ ΚΑΙ ΔΙΑΒΙΒΑΣΗΣ</w:t>
      </w:r>
    </w:p>
    <w:p>
      <w:pPr>
        <w:spacing w:before="240" w:after="240"/>
        <w:rPr>
          <w:lang w:val="el" w:eastAsia="el"/>
        </w:rPr>
      </w:pPr>
      <w:r>
        <w:rPr>
          <w:b/>
          <w:bCs/>
          <w:lang w:val="el" w:eastAsia="el"/>
        </w:rPr>
        <w:t>ΔΕΔΟΜΕΝΩΝ</w:t>
      </w:r>
    </w:p>
    <w:p>
      <w:pPr>
        <w:spacing w:before="240" w:after="240"/>
        <w:rPr>
          <w:lang w:val="el" w:eastAsia="el"/>
        </w:rPr>
      </w:pPr>
      <w:r>
        <w:rPr>
          <w:b/>
          <w:bCs/>
          <w:lang w:val="el" w:eastAsia="el"/>
        </w:rPr>
        <w:t>II. ΓΕΝΙΚΗ ΔΙΕΥΘΥΝΣΗ ΦΟΡΟΛΟΓΙΚΩΝ</w:t>
      </w:r>
    </w:p>
    <w:p>
      <w:pPr>
        <w:spacing w:before="240" w:after="240"/>
        <w:rPr>
          <w:lang w:val="el" w:eastAsia="el"/>
        </w:rPr>
      </w:pPr>
      <w:r>
        <w:rPr>
          <w:b/>
          <w:bCs/>
          <w:lang w:val="el" w:eastAsia="el"/>
        </w:rPr>
        <w:t>ΛΕΙΤΟΥΡΓΙΩΝ</w:t>
      </w:r>
    </w:p>
    <w:p>
      <w:pPr>
        <w:spacing w:before="240" w:after="240"/>
        <w:rPr>
          <w:lang w:val="el" w:eastAsia="el"/>
        </w:rPr>
      </w:pPr>
      <w:r>
        <w:rPr>
          <w:b/>
          <w:bCs/>
          <w:lang w:val="el" w:eastAsia="el"/>
        </w:rPr>
        <w:t>ΔΙΕΥΘΥΝΣΗ ΕΠΙΧΕΙΡΗΣΙΑΚΟΥ ΣΧΕΔΙΑΣΜΟΥ</w:t>
      </w:r>
    </w:p>
    <w:p>
      <w:pPr>
        <w:spacing w:before="240" w:after="240"/>
        <w:rPr>
          <w:lang w:val="el" w:eastAsia="el"/>
        </w:rPr>
      </w:pPr>
      <w:r>
        <w:rPr>
          <w:b/>
          <w:bCs/>
          <w:lang w:val="el" w:eastAsia="el"/>
        </w:rPr>
        <w:t>ΕΛΕΓΧΩΝ</w:t>
      </w:r>
    </w:p>
    <w:p>
      <w:pPr>
        <w:spacing w:before="240" w:after="240"/>
        <w:rPr>
          <w:lang w:val="el" w:eastAsia="el"/>
        </w:rPr>
      </w:pPr>
      <w:r>
        <w:rPr>
          <w:b/>
          <w:bCs/>
          <w:lang w:val="el" w:eastAsia="el"/>
        </w:rPr>
        <w:t>ΟΡΘΗ ΕΠΑΝΑΛΗΨΗ ΩΣ ΠΡΟΣ</w:t>
      </w:r>
    </w:p>
    <w:p>
      <w:pPr>
        <w:spacing w:before="240" w:after="240"/>
        <w:rPr>
          <w:lang w:val="el" w:eastAsia="el"/>
        </w:rPr>
      </w:pPr>
      <w:r>
        <w:rPr>
          <w:b/>
          <w:bCs/>
          <w:lang w:val="el" w:eastAsia="el"/>
        </w:rPr>
        <w:t>ΤΟΝ ΑΡΙΘΜΟ ΤΟΥ ΦΕΚ</w:t>
      </w:r>
    </w:p>
    <w:p>
      <w:pPr>
        <w:spacing w:before="240" w:after="240"/>
        <w:rPr>
          <w:lang w:val="el" w:eastAsia="el"/>
        </w:rPr>
      </w:pPr>
      <w:r>
        <w:rPr>
          <w:b/>
          <w:bCs/>
          <w:lang w:val="el" w:eastAsia="el"/>
        </w:rPr>
        <w:t>ΙIΙ.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ΑΝΑΠΤΥΞΗΣ ΦΟΡΟΛΟΓΙΚΩΝ</w:t>
      </w:r>
    </w:p>
    <w:p>
      <w:pPr>
        <w:spacing w:before="240" w:after="240"/>
        <w:rPr>
          <w:lang w:val="el" w:eastAsia="el"/>
        </w:rPr>
      </w:pPr>
      <w:r>
        <w:rPr>
          <w:b/>
          <w:bCs/>
          <w:lang w:val="el" w:eastAsia="el"/>
        </w:rPr>
        <w:t>ΕΦΑΡΜΟΓΩΝ – ΤΜΗΜΑ Γ΄</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Α΄/ ΤΜΗΜΑ Β΄</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 xml:space="preserve">ΑΔΑ: </w:t>
      </w:r>
      <w:r>
        <w:rPr>
          <w:lang w:val="el" w:eastAsia="el"/>
        </w:rPr>
        <w:t xml:space="preserve">: </w:t>
      </w:r>
      <w:r>
        <w:rPr>
          <w:b/>
          <w:bCs/>
          <w:lang w:val="el" w:eastAsia="el"/>
        </w:rPr>
        <w:t>908Ξ46ΜΠ3Ζ-ΒΑ8</w:t>
      </w:r>
    </w:p>
    <w:p>
      <w:pPr>
        <w:spacing w:before="240" w:after="240"/>
        <w:rPr>
          <w:lang w:val="el" w:eastAsia="el"/>
        </w:rPr>
      </w:pPr>
      <w:r>
        <w:rPr>
          <w:b/>
          <w:bCs/>
          <w:lang w:val="el" w:eastAsia="el"/>
        </w:rPr>
        <w:t>Αρ. ΦΕΚ: 294 B΄/31.01.2025</w:t>
      </w:r>
    </w:p>
    <w:p>
      <w:pPr>
        <w:spacing w:before="240" w:after="240"/>
        <w:rPr>
          <w:lang w:val="el" w:eastAsia="el"/>
        </w:rPr>
      </w:pPr>
      <w:r>
        <w:rPr>
          <w:b/>
          <w:bCs/>
          <w:lang w:val="el" w:eastAsia="el"/>
        </w:rPr>
        <w:t>Αθήνα, 30 Ιανουαρίου 2025</w:t>
      </w:r>
    </w:p>
    <w:p>
      <w:pPr>
        <w:spacing w:before="240" w:after="240"/>
        <w:rPr>
          <w:lang w:val="el" w:eastAsia="el"/>
        </w:rPr>
      </w:pPr>
      <w:r>
        <w:rPr>
          <w:b/>
          <w:bCs/>
          <w:lang w:val="el" w:eastAsia="el"/>
        </w:rPr>
        <w:t>Α.1011</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 Ταύρος</w:t>
      </w:r>
    </w:p>
    <w:p>
      <w:pPr>
        <w:spacing w:before="240" w:after="240"/>
        <w:rPr>
          <w:lang w:val="el" w:eastAsia="el"/>
        </w:rPr>
      </w:pPr>
      <w:r>
        <w:rPr>
          <w:b/>
          <w:bCs/>
          <w:lang w:val="el" w:eastAsia="el"/>
        </w:rPr>
        <w:t>17778</w:t>
      </w:r>
    </w:p>
    <w:p>
      <w:pPr>
        <w:spacing w:before="240" w:after="240"/>
        <w:rPr>
          <w:lang w:val="el" w:eastAsia="el"/>
        </w:rPr>
      </w:pPr>
      <w:r>
        <w:rPr>
          <w:b/>
          <w:bCs/>
          <w:lang w:val="el" w:eastAsia="el"/>
        </w:rPr>
        <w:t>2131410671</w:t>
      </w:r>
    </w:p>
    <w:p>
      <w:pPr>
        <w:spacing w:before="240" w:after="240"/>
        <w:rPr>
          <w:lang w:val="el" w:eastAsia="el"/>
        </w:rPr>
      </w:pPr>
      <w:hyperlink r:id="rId4" w:history="1">
        <w:r>
          <w:rPr>
            <w:rStyle w:val="Hyperlink"/>
            <w:b/>
            <w:bCs/>
            <w:color w:val="0000EE"/>
            <w:u w:color="0000EE"/>
            <w:lang w:val="el" w:eastAsia="el"/>
          </w:rPr>
          <w:t>deef@aade.gr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Θέμα: Καθορισμός του εντύπου της δήλωσης ΦΠΑ, της διαδικασίας επιστροφής πιστωτικού υπολοίπου και της υποχρέωσης υποβολής δήλωσης ΦΠΑ για τα πλοία που εμπίπτουν στις διατάξεις του άρθ. 8 του ν.4926/2022 (Α’ 82).</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To άρθ. 8 του ν. 4926/2022 (Α΄ 82), καθώς και τις διατάξεις της περ.β΄της παρ.12 του άρθρου 43 του Κώδικα ΦΠΑ (ν.5144/2024 Α΄162).</w:t>
      </w:r>
    </w:p>
    <w:p>
      <w:pPr>
        <w:spacing w:before="240" w:after="240"/>
        <w:rPr>
          <w:lang w:val="el" w:eastAsia="el"/>
        </w:rPr>
      </w:pPr>
      <w:r>
        <w:rPr>
          <w:lang w:val="el" w:eastAsia="el"/>
        </w:rPr>
        <w:t xml:space="preserve">2. </w:t>
      </w:r>
      <w:r>
        <w:rPr>
          <w:b/>
          <w:bCs/>
          <w:lang w:val="el" w:eastAsia="el"/>
        </w:rPr>
        <w:t>Τα άρθρα 6, 42 και των παρ. 3 και 42 του άρθρου 83 και της παρ.4 του άρθρου 84 του ν. 5104/2024«Κώδικας Φορολογικής Διαδικασίας και άλλες διατάξεις» (Α΄58), εφεξής «ΚΦΔ».</w:t>
      </w:r>
    </w:p>
    <w:p>
      <w:pPr>
        <w:spacing w:before="240" w:after="240"/>
        <w:rPr>
          <w:lang w:val="el" w:eastAsia="el"/>
        </w:rPr>
      </w:pPr>
      <w:r>
        <w:rPr>
          <w:lang w:val="el" w:eastAsia="el"/>
        </w:rPr>
        <w:t xml:space="preserve">3. </w:t>
      </w:r>
      <w:r>
        <w:rPr>
          <w:b/>
          <w:bCs/>
          <w:lang w:val="el" w:eastAsia="el"/>
        </w:rPr>
        <w:t>Το άρθρο 43 του ν. 5144/2024 «Κώδικας Φόρου Προστιθέμενης Αξίας» (Α΄162), εφεξής «Κώδικας ΦΠΑ».</w:t>
      </w:r>
    </w:p>
    <w:p>
      <w:pPr>
        <w:spacing w:before="240" w:after="240"/>
        <w:rPr>
          <w:lang w:val="el" w:eastAsia="el"/>
        </w:rPr>
      </w:pPr>
      <w:r>
        <w:rPr>
          <w:lang w:val="el" w:eastAsia="el"/>
        </w:rPr>
        <w:t xml:space="preserve">4. </w:t>
      </w:r>
      <w:r>
        <w:rPr>
          <w:b/>
          <w:bCs/>
          <w:lang w:val="el" w:eastAsia="el"/>
        </w:rPr>
        <w:t>Την υπ’ αριθ. 3133.1/75335/2022 κοινή απόφαση των Υπουργών Ναυτιλίας και Νησιωτικής Πολιτικής, Οικονομικών και Ψηφιακής Διακυβέρνησης «Ηλεκτρονική εφαρμογή για την έκδοση «Άδειας εκναύλωσης ορισμένης ισχύος επαγγελματικού πλοίου αναψυχής αναγνωρισμένου σύμφωνα με το δίκαιο άλλης χώρας» και την απόδοση «Τέλους Επαγγελματικού Πλοίου Αναψυχής σύμφωνα με το Δίκαιο Άλλης Χώρας» (Β΄5567).</w:t>
      </w:r>
    </w:p>
    <w:p>
      <w:pPr>
        <w:spacing w:before="240" w:after="240"/>
        <w:rPr>
          <w:lang w:val="el" w:eastAsia="el"/>
        </w:rPr>
      </w:pPr>
      <w:r>
        <w:rPr>
          <w:lang w:val="el" w:eastAsia="el"/>
        </w:rPr>
        <w:t xml:space="preserve">5. </w:t>
      </w:r>
      <w:r>
        <w:rPr>
          <w:b/>
          <w:bCs/>
          <w:lang w:val="el" w:eastAsia="el"/>
        </w:rPr>
        <w:t>Την υπό στοιχεία Α.1058/2024 (Β΄2660) απόφαση του Διοικητή της Ανεξάρτητης Αρχής Δημοσίων Εσόδων με θέμα «Τύπος και περιεχόμενο του εντύπου της δήλωσης ΦΠΑ «050 - ΦΠΑ ΕΚΔΟΣΗ 2024, Φ2 TAXIS».</w:t>
      </w:r>
    </w:p>
    <w:p>
      <w:pPr>
        <w:spacing w:before="240" w:after="240"/>
        <w:rPr>
          <w:lang w:val="el" w:eastAsia="el"/>
        </w:rPr>
      </w:pPr>
      <w:r>
        <w:rPr>
          <w:lang w:val="el" w:eastAsia="el"/>
        </w:rPr>
        <w:t xml:space="preserve">6. </w:t>
      </w:r>
      <w:r>
        <w:rPr>
          <w:b/>
          <w:bCs/>
          <w:lang w:val="el" w:eastAsia="el"/>
        </w:rPr>
        <w:t>Την υπ’ αριθ. Α. 1104/2020 απόφαση του Διοικητή της Ανεξάρτητης Αρχής Δημοσίων Εσόδων «Διαδικασία επιστροφής Φόρου Προστιθεμένης Αξίας» (Β΄1895).</w:t>
      </w:r>
    </w:p>
    <w:p>
      <w:pPr>
        <w:spacing w:before="240" w:after="240"/>
        <w:rPr>
          <w:lang w:val="el" w:eastAsia="el"/>
        </w:rPr>
      </w:pPr>
      <w:r>
        <w:rPr>
          <w:lang w:val="el" w:eastAsia="el"/>
        </w:rPr>
        <w:t xml:space="preserve">7. </w:t>
      </w:r>
      <w:r>
        <w:rPr>
          <w:b/>
          <w:bCs/>
          <w:lang w:val="el" w:eastAsia="el"/>
        </w:rPr>
        <w:t>Την υπ. αριθμό 1 από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το πρώτο εδάφιο της παρ. 10 του άρθρου 41 του ν. 4389/2016, την υπ’ αριθμό 39/3/30.11.2017 απόφαση του Συμβουλίου Διοίκησης της Α.Α.Δ.Ε. (Υ.Ο.Δ.Δ.. 689) και την υπό στοιχεία 5294 ΕΞ2020/17.01.2020 απόφαση του Υπουργού Οικονομικών «Ανανέωση της θητείας του Διοικητή της Ανεξάρτητης Αρχής Δημοσίων Εσόδων»(Υ.Ο.Δ.Δ. 27), καθώς και την υπό στοιχεία 7608 ΕΞ/2025/17.01.2025 (Υ.Ο.Δ.Δ. 11) απόφαση του Υπουργού Εθνικής Οικονομίας κ’ Οικονομικών με το ίδιο θέμα.</w:t>
      </w:r>
    </w:p>
    <w:p>
      <w:pPr>
        <w:spacing w:before="240" w:after="240"/>
        <w:rPr>
          <w:lang w:val="el" w:eastAsia="el"/>
        </w:rPr>
      </w:pPr>
      <w:r>
        <w:rPr>
          <w:lang w:val="el" w:eastAsia="el"/>
        </w:rPr>
        <w:t xml:space="preserve">8. </w:t>
      </w:r>
      <w:r>
        <w:rPr>
          <w:b/>
          <w:bCs/>
          <w:lang w:val="el" w:eastAsia="el"/>
        </w:rPr>
        <w:t>Το Κεφάλαιο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spacing w:before="240" w:after="240"/>
        <w:rPr>
          <w:lang w:val="el" w:eastAsia="el"/>
        </w:rPr>
      </w:pPr>
      <w:r>
        <w:rPr>
          <w:lang w:val="el" w:eastAsia="el"/>
        </w:rPr>
        <w:t xml:space="preserve">9.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10. </w:t>
      </w:r>
      <w:r>
        <w:rPr>
          <w:b/>
          <w:bCs/>
          <w:lang w:val="el" w:eastAsia="el"/>
        </w:rPr>
        <w:t>Την ανάγκη καθορισμού του εντύπου της δήλωσης ΦΠΑ και της διαδικασίας επιστροφής πιστωτικού υπολοίπου για τους εκμεταλλευτές των πλοίων που εμπίπτουν στις διατάξεις του άρθ. 8 του ν.4926/2022.</w:t>
      </w:r>
    </w:p>
    <w:p>
      <w:pPr>
        <w:spacing w:before="240" w:after="240"/>
        <w:rPr>
          <w:lang w:val="el" w:eastAsia="el"/>
        </w:rPr>
      </w:pPr>
      <w:r>
        <w:rPr>
          <w:lang w:val="el" w:eastAsia="el"/>
        </w:rPr>
        <w:t xml:space="preserve">11. </w:t>
      </w:r>
      <w:r>
        <w:rPr>
          <w:b/>
          <w:bCs/>
          <w:lang w:val="el" w:eastAsia="el"/>
        </w:rPr>
        <w:t>Το γεγονός ότι με την απόφαση αυτή δεν προκαλείται δαπάνη για τον κρατικό προϋπολογισμό.</w:t>
      </w:r>
    </w:p>
    <w:p>
      <w:pPr>
        <w:spacing w:before="240" w:after="240"/>
        <w:rPr>
          <w:lang w:val="el" w:eastAsia="el"/>
        </w:rPr>
      </w:pPr>
      <w:r>
        <w:rPr>
          <w:lang w:val="el" w:eastAsia="el"/>
        </w:rPr>
        <w:t xml:space="preserve">12. </w:t>
      </w:r>
      <w:r>
        <w:rPr>
          <w:b/>
          <w:bCs/>
          <w:lang w:val="el" w:eastAsia="el"/>
        </w:rPr>
        <w:t>Το γεγονός ότι με τις διατάξεις της παρούσας τροποποιείται η διοικητική διαδικασία με επίσημο τίτλο «Δήλωση ΦΠΑ» και Μοναδικό Αριθμό Καταχώρισης (Μ.Α.Κ.) στο ΕΜΔΔ «Μίτος» 463435 αποφασίζουμε: καθορίζονται το έντυπο της δήλωσης ΦΠΑ και η διαδικασία επιστροφής πιστωτικού υπολοίπου για τους εκμεταλλευτές των πλοίων που εμπίπτουν στο άρθ. 8 του ν.4926/2022.</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δήλωσης ΦΠΑ</w:t>
      </w:r>
    </w:p>
    <w:p>
      <w:pPr>
        <w:pStyle w:val="MainText"/>
        <w:spacing w:before="120" w:after="0"/>
        <w:rPr>
          <w:lang w:val="el" w:eastAsia="el"/>
        </w:rPr>
      </w:pPr>
      <w:r>
        <w:rPr>
          <w:b/>
          <w:bCs/>
          <w:lang w:val="el" w:eastAsia="el"/>
        </w:rPr>
        <w:t>1.</w:t>
      </w:r>
      <w:r>
        <w:rPr>
          <w:lang w:val="el" w:eastAsia="el"/>
        </w:rPr>
        <w:t xml:space="preserve"> </w:t>
      </w:r>
      <w:r>
        <w:rPr>
          <w:b/>
          <w:bCs/>
          <w:lang w:val="el" w:eastAsia="el"/>
        </w:rPr>
        <w:t>Η δήλωση ΦΠΑ υποβάλλεται με το έντυπο</w:t>
      </w:r>
      <w:r>
        <w:rPr>
          <w:rStyle w:val="link"/>
          <w:b/>
          <w:bCs/>
          <w:lang w:val="el" w:eastAsia="el"/>
        </w:rPr>
        <w:t xml:space="preserve">«050 – </w:t>
      </w:r>
      <w:r>
        <w:rPr>
          <w:rStyle w:val="link"/>
          <w:b/>
          <w:bCs/>
          <w:lang w:val="el" w:eastAsia="el"/>
        </w:rPr>
        <w:t xml:space="preserve">ΦΠΑ ΕΚΔΟΣΗ </w:t>
      </w:r>
      <w:r>
        <w:rPr>
          <w:rStyle w:val="link"/>
          <w:b/>
          <w:bCs/>
          <w:lang w:val="el" w:eastAsia="el"/>
        </w:rPr>
        <w:t xml:space="preserve">2024, </w:t>
      </w:r>
      <w:r>
        <w:rPr>
          <w:rStyle w:val="link"/>
          <w:b/>
          <w:bCs/>
          <w:lang w:val="el" w:eastAsia="el"/>
        </w:rPr>
        <w:t>Φ2</w:t>
      </w:r>
      <w:r>
        <w:rPr>
          <w:rStyle w:val="link"/>
          <w:b/>
          <w:bCs/>
          <w:lang w:val="el" w:eastAsia="el"/>
        </w:rPr>
        <w:t>TAXIS»,</w:t>
      </w:r>
      <w:r>
        <w:rPr>
          <w:b/>
          <w:bCs/>
          <w:lang w:val="el" w:eastAsia="el"/>
        </w:rPr>
        <w:t xml:space="preserve"> στην προθεσμία που προβλέπεται στην παρ. 4 του άρθ. 43 του Κώδικα ΦΠΑ λαμβάνοντας υπόψη τα οριζόμενα στην υποπερ. δα. της περ. δ. της παρ. 2 του άρθρου 8 του ν.4926/2022.</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δήλωση ΦΠΑ για το ημερολογιακό έτος 2024 υποβάλλεται μέχρι την 28</w:t>
      </w:r>
      <w:r>
        <w:rPr>
          <w:b/>
          <w:bCs/>
          <w:sz w:val="30"/>
          <w:szCs w:val="30"/>
          <w:vertAlign w:val="superscript"/>
          <w:lang w:val="el" w:eastAsia="el"/>
        </w:rPr>
        <w:t xml:space="preserve">η </w:t>
      </w:r>
      <w:r>
        <w:rPr>
          <w:b/>
          <w:bCs/>
          <w:lang w:val="el" w:eastAsia="el"/>
        </w:rPr>
        <w:t>Φεβρουαρίου 2025.</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Επιστροφή πιστωτικού υπολοίπου</w:t>
      </w:r>
    </w:p>
    <w:p>
      <w:pPr>
        <w:spacing w:before="240" w:after="240"/>
        <w:rPr>
          <w:lang w:val="el" w:eastAsia="el"/>
        </w:rPr>
      </w:pPr>
      <w:r>
        <w:rPr>
          <w:b/>
          <w:bCs/>
          <w:lang w:val="el" w:eastAsia="el"/>
        </w:rPr>
        <w:t>H διαδικασία επιστροφής πιστωτικού υπολοίπου ΦΠΑ πραγματοποιείται σύμφωνα με τα οριζόμενα στην υπό στοιχεία Α. 1104/06.05.2020 απόφαση του Διοικητή της ΑΑΔΕ. Το αιτούμενο ποσό ΦΠΑ επιστρέφεται από τη Φορολογική Διοίκηση κατόπιν κεντρικής αξιολόγησης των αιτήσεων που δημιουργούνται ηλεκτρονικά, με βάση κριτήρια ανάλυσης κινδύνου τα οποία δεν δημοσιοποιούνται.</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ισχύς της απόφασης αυτής αρχίζει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Διεύθυνση Επιχειρησιακών Διαδικασιών (ΔΙ.ΕΠΙ.ΔΙ.)</w:t>
      </w:r>
    </w:p>
    <w:p>
      <w:pPr>
        <w:spacing w:before="240" w:after="240"/>
        <w:rPr>
          <w:lang w:val="el" w:eastAsia="el"/>
        </w:rPr>
      </w:pPr>
      <w:r>
        <w:rPr>
          <w:b/>
          <w:bCs/>
          <w:lang w:val="el" w:eastAsia="el"/>
        </w:rPr>
        <w:t xml:space="preserve">3. </w:t>
      </w:r>
      <w:r>
        <w:rPr>
          <w:b/>
          <w:bCs/>
          <w:lang w:val="el" w:eastAsia="el"/>
        </w:rPr>
        <w:t>Διεύθυνση Ανάπτυξης Φορολογικών Εφαρμογών (Δ.Α.Φ.Ε.)</w:t>
      </w:r>
    </w:p>
    <w:p>
      <w:pPr>
        <w:spacing w:before="240" w:after="240"/>
        <w:rPr>
          <w:lang w:val="el" w:eastAsia="el"/>
        </w:rPr>
      </w:pPr>
      <w:r>
        <w:rPr>
          <w:b/>
          <w:bCs/>
          <w:lang w:val="el" w:eastAsia="el"/>
        </w:rPr>
        <w:t xml:space="preserve">4. </w:t>
      </w:r>
      <w:r>
        <w:rPr>
          <w:b/>
          <w:bCs/>
          <w:lang w:val="el" w:eastAsia="el"/>
        </w:rPr>
        <w:t>Διεύθυνση Επιχειρησιακού Σχεδιασμού Ελέγχων (ΔΙ.Ε.Σ.ΕΛ.)</w:t>
      </w:r>
    </w:p>
    <w:p>
      <w:pPr>
        <w:spacing w:before="240" w:after="240"/>
        <w:rPr>
          <w:lang w:val="el" w:eastAsia="el"/>
        </w:rPr>
      </w:pPr>
      <w:r>
        <w:rPr>
          <w:b/>
          <w:bCs/>
          <w:lang w:val="el" w:eastAsia="el"/>
        </w:rPr>
        <w:t xml:space="preserve">5.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b/>
          <w:bCs/>
          <w:lang w:val="el" w:eastAsia="el"/>
        </w:rPr>
        <w:t xml:space="preserve">6. </w:t>
      </w:r>
      <w:r>
        <w:rPr>
          <w:b/>
          <w:bCs/>
          <w:lang w:val="el" w:eastAsia="el"/>
        </w:rPr>
        <w:t>Εθνικό Τυπογραφείο για δημοσίευση της απόφασης στην Εφημερίδα της Κυβερνήσεως 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w:t>
      </w:r>
    </w:p>
    <w:p>
      <w:pPr>
        <w:spacing w:before="240" w:after="240"/>
        <w:rPr>
          <w:lang w:val="el" w:eastAsia="el"/>
        </w:rPr>
      </w:pPr>
      <w:r>
        <w:rPr>
          <w:b/>
          <w:bCs/>
          <w:lang w:val="el" w:eastAsia="el"/>
        </w:rPr>
        <w:t xml:space="preserve">2. </w:t>
      </w:r>
      <w:r>
        <w:rPr>
          <w:b/>
          <w:bCs/>
          <w:lang w:val="el" w:eastAsia="el"/>
        </w:rPr>
        <w:t>Αποδέκτες πίνακα Β’</w:t>
      </w:r>
    </w:p>
    <w:p>
      <w:pPr>
        <w:spacing w:before="240" w:after="240"/>
        <w:rPr>
          <w:lang w:val="el" w:eastAsia="el"/>
        </w:rPr>
      </w:pPr>
      <w:r>
        <w:rPr>
          <w:b/>
          <w:bCs/>
          <w:lang w:val="el" w:eastAsia="el"/>
        </w:rPr>
        <w:t xml:space="preserve">3. </w:t>
      </w:r>
      <w:r>
        <w:rPr>
          <w:b/>
          <w:bCs/>
          <w:lang w:val="el" w:eastAsia="el"/>
        </w:rPr>
        <w:t>Αποδέκτες πίνακα Ζ’</w:t>
      </w:r>
    </w:p>
    <w:p>
      <w:pPr>
        <w:spacing w:before="240" w:after="240"/>
        <w:rPr>
          <w:lang w:val="el" w:eastAsia="el"/>
        </w:rPr>
      </w:pPr>
      <w:r>
        <w:rPr>
          <w:b/>
          <w:bCs/>
          <w:lang w:val="el" w:eastAsia="el"/>
        </w:rPr>
        <w:t xml:space="preserve">4. </w:t>
      </w:r>
      <w:r>
        <w:rPr>
          <w:b/>
          <w:bCs/>
          <w:lang w:val="el" w:eastAsia="el"/>
        </w:rPr>
        <w:t>Αποδέκτες πίνακα Η’</w:t>
      </w:r>
    </w:p>
    <w:p>
      <w:pPr>
        <w:spacing w:before="240" w:after="240"/>
        <w:rPr>
          <w:lang w:val="el" w:eastAsia="el"/>
        </w:rPr>
      </w:pPr>
      <w:r>
        <w:rPr>
          <w:b/>
          <w:bCs/>
          <w:lang w:val="el" w:eastAsia="el"/>
        </w:rPr>
        <w:t xml:space="preserve">5. </w:t>
      </w:r>
      <w:r>
        <w:rPr>
          <w:b/>
          <w:bCs/>
          <w:lang w:val="el" w:eastAsia="el"/>
        </w:rPr>
        <w:t>Αποδέκτες πίνακα Θ’, μόνο ο αριθ. 4 περ. ι &amp; ιστ, και οι αριθ.13,14,20</w:t>
      </w:r>
    </w:p>
    <w:p>
      <w:pPr>
        <w:spacing w:before="240" w:after="240"/>
        <w:rPr>
          <w:lang w:val="el" w:eastAsia="el"/>
        </w:rPr>
      </w:pPr>
      <w:r>
        <w:rPr>
          <w:b/>
          <w:bCs/>
          <w:lang w:val="el" w:eastAsia="el"/>
        </w:rPr>
        <w:t xml:space="preserve">6. </w:t>
      </w:r>
      <w:r>
        <w:rPr>
          <w:b/>
          <w:bCs/>
          <w:lang w:val="el" w:eastAsia="el"/>
        </w:rPr>
        <w:t>Αποδέκτες πίνακα ΙΒ’, μόνο ο αριθ. 9</w:t>
      </w:r>
    </w:p>
    <w:p>
      <w:pPr>
        <w:spacing w:before="240" w:after="240"/>
        <w:rPr>
          <w:lang w:val="el" w:eastAsia="el"/>
        </w:rPr>
      </w:pPr>
      <w:r>
        <w:rPr>
          <w:b/>
          <w:bCs/>
          <w:lang w:val="el" w:eastAsia="el"/>
        </w:rPr>
        <w:t xml:space="preserve">7. </w:t>
      </w:r>
      <w:r>
        <w:rPr>
          <w:b/>
          <w:bCs/>
          <w:lang w:val="el" w:eastAsia="el"/>
        </w:rPr>
        <w:t>Αποδέκτες πίνακα ΚΓ’, εκτός αριθ. 11, 19</w:t>
      </w:r>
    </w:p>
    <w:p>
      <w:pPr>
        <w:spacing w:before="240" w:after="240"/>
        <w:rPr>
          <w:lang w:val="el" w:eastAsia="el"/>
        </w:rPr>
      </w:pPr>
      <w:r>
        <w:rPr>
          <w:b/>
          <w:bCs/>
          <w:lang w:val="el" w:eastAsia="el"/>
        </w:rPr>
        <w:t xml:space="preserve">8.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9.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10. </w:t>
      </w:r>
      <w:r>
        <w:rPr>
          <w:b/>
          <w:bCs/>
          <w:lang w:val="el" w:eastAsia="el"/>
        </w:rPr>
        <w:t>Γραφείο Γεν. Γραμματέα Οικονομικής Πολιτικής</w:t>
      </w:r>
    </w:p>
    <w:p>
      <w:pPr>
        <w:spacing w:before="240" w:after="240"/>
        <w:rPr>
          <w:lang w:val="el" w:eastAsia="el"/>
        </w:rPr>
      </w:pPr>
      <w:r>
        <w:rPr>
          <w:b/>
          <w:bCs/>
          <w:lang w:val="el" w:eastAsia="el"/>
        </w:rPr>
        <w:t xml:space="preserve">11. </w:t>
      </w:r>
      <w:r>
        <w:rPr>
          <w:b/>
          <w:bCs/>
          <w:lang w:val="el" w:eastAsia="el"/>
        </w:rPr>
        <w:t>Γραφείο Γεν. Γραμματέα Πληροφοριακών Συστημάτων Δημόσιας Διοίκησης</w:t>
      </w:r>
    </w:p>
    <w:p>
      <w:pPr>
        <w:spacing w:before="240" w:after="240"/>
        <w:rPr>
          <w:lang w:val="el" w:eastAsia="el"/>
        </w:rPr>
      </w:pPr>
      <w:r>
        <w:rPr>
          <w:b/>
          <w:bCs/>
          <w:lang w:val="el" w:eastAsia="el"/>
        </w:rPr>
        <w:t xml:space="preserve">12. </w:t>
      </w:r>
      <w:r>
        <w:rPr>
          <w:b/>
          <w:bCs/>
          <w:lang w:val="el" w:eastAsia="el"/>
        </w:rPr>
        <w:t>Γραφείο Γεν. Γραμματέα Φορολογικής Πολιτικής</w:t>
      </w:r>
    </w:p>
    <w:p>
      <w:pPr>
        <w:spacing w:before="240" w:after="240"/>
        <w:rPr>
          <w:lang w:val="el" w:eastAsia="el"/>
        </w:rPr>
      </w:pPr>
      <w:r>
        <w:rPr>
          <w:b/>
          <w:bCs/>
          <w:lang w:val="el" w:eastAsia="el"/>
        </w:rPr>
        <w:t xml:space="preserve">13. </w:t>
      </w:r>
      <w:r>
        <w:rPr>
          <w:b/>
          <w:bCs/>
          <w:lang w:val="el" w:eastAsia="el"/>
        </w:rPr>
        <w:t>Διεύθυνση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p>
      <w:pPr>
        <w:spacing w:before="240" w:after="240"/>
        <w:rPr>
          <w:lang w:val="el" w:eastAsia="el"/>
        </w:rPr>
      </w:pPr>
      <w:r>
        <w:rPr>
          <w:b/>
          <w:bCs/>
          <w:lang w:val="el" w:eastAsia="el"/>
        </w:rPr>
        <w:t xml:space="preserve">3. </w:t>
      </w:r>
      <w:r>
        <w:rPr>
          <w:b/>
          <w:bCs/>
          <w:lang w:val="el" w:eastAsia="el"/>
        </w:rPr>
        <w:t>ΔΙΕΥΘΥΝΣΗ ΕΛΕΓΚΤΙΚΩΝ ΔΙΑΔΙΚΑΣΙΩΝ</w:t>
      </w:r>
    </w:p>
    <w:p>
      <w:pPr>
        <w:spacing w:before="240" w:after="240"/>
        <w:rPr>
          <w:lang w:val="el" w:eastAsia="el"/>
        </w:rPr>
      </w:pPr>
      <w:r>
        <w:rPr>
          <w:b/>
          <w:bCs/>
          <w:lang w:val="el" w:eastAsia="el"/>
        </w:rPr>
        <w:t xml:space="preserve">4. </w:t>
      </w:r>
      <w:r>
        <w:rPr>
          <w:b/>
          <w:bCs/>
          <w:lang w:val="el" w:eastAsia="el"/>
        </w:rPr>
        <w:t xml:space="preserve">ΔΕΕΦ – ΤΜΗΜΑ Α </w:t>
      </w:r>
      <w:r>
        <w:rPr>
          <w:b/>
          <w:bCs/>
          <w:lang w:val="el" w:eastAsia="el"/>
        </w:rPr>
        <w:t xml:space="preserve">́ </w:t>
      </w:r>
      <w:r>
        <w:rPr>
          <w:b/>
          <w:bCs/>
          <w:lang w:val="el" w:eastAsia="el"/>
        </w:rPr>
        <w:t>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