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6ΘΥΖ46ΜΠ3Ζ-ΦΣΨ</w:t>
      </w:r>
    </w:p>
    <w:p>
      <w:pPr>
        <w:pStyle w:val="Title"/>
        <w:spacing w:before="120" w:after="360"/>
        <w:rPr>
          <w:lang w:val="el" w:eastAsia="el"/>
        </w:rPr>
      </w:pPr>
      <w:r>
        <w:rPr>
          <w:b/>
          <w:bCs/>
          <w:lang w:val="el" w:eastAsia="el"/>
        </w:rPr>
        <w:t>ΑΡΙΘ. ΦΕΚ: Β’ 519/12.2.2025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B. 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 17778 Ταύρος</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2131410131,133,142</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deef@ 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 Β’</w:t>
      </w:r>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Α.1100/2019 απόφασης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ν.4172/2013» (Β΄ 951).</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3 και της περ. β΄της παρ. 26 του άρθρου 83, καθώς και της παρ. 3 του άρθρου 15, της παρ. 12 του άρθρου 83 και του άρθρου 36 του Κώδικα Φορολογικής Διαδικασίας (ν. 5104/2024, Α’ 58,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35, 36, 37 και 38, του άρθρου 61, των περ. α΄, β΄ και γ΄ της παρ. 1 του άρθρου 62 και των περ. α, β΄και γ’ της παρ. 1 και των παρ. 6 και 7 του άρθρου 64 του Κώδικα Φορολογίας Εισοδήματος (ν. 4172/2013, Α' 167, εφεξής «ΚΦΕ»).</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Μέρους Β΄του ν. 5135/2024 «Ψηφιακό τέλος συναλλαγής και άλλες διατάξεις» (Α΄147).</w:t>
      </w:r>
    </w:p>
    <w:p>
      <w:pPr>
        <w:spacing w:before="240" w:after="240"/>
        <w:rPr>
          <w:lang w:val="el" w:eastAsia="el"/>
        </w:rPr>
      </w:pPr>
      <w:r>
        <w:rPr>
          <w:b/>
          <w:bCs/>
          <w:lang w:val="el" w:eastAsia="el"/>
        </w:rPr>
        <w:t xml:space="preserve">2. </w:t>
      </w:r>
      <w:r>
        <w:rPr>
          <w:b/>
          <w:bCs/>
          <w:lang w:val="el" w:eastAsia="el"/>
        </w:rPr>
        <w:t>Την υπό στοιχεία Α.1100/2019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ν.4172/2013» (Β’ 951).</w:t>
      </w:r>
    </w:p>
    <w:p>
      <w:pPr>
        <w:spacing w:before="240" w:after="240"/>
        <w:rPr>
          <w:lang w:val="el" w:eastAsia="el"/>
        </w:rPr>
      </w:pPr>
      <w:r>
        <w:rPr>
          <w:b/>
          <w:bCs/>
          <w:lang w:val="el" w:eastAsia="el"/>
        </w:rPr>
        <w:t xml:space="preserve">3. </w:t>
      </w:r>
      <w:r>
        <w:rPr>
          <w:b/>
          <w:bCs/>
          <w:lang w:val="el" w:eastAsia="el"/>
        </w:rPr>
        <w:t>Την υπό στοιχεία Α.1149/2024 απόφαση του Διοικητή της Α.Α.Δ.Ε. «Καθορισμός του τύπου και του περιεχομένου της δήλωσης του Ψηφιακού Τέλους Συναλλαγής, της διαδικασίας, του τρόπου υποβολής και απόδοσης της δήλωσης, καθώς και του τρόπου επιστροφής του Ψηφιακού Τέλους Συναλλαγής» (Β’ 5578).</w:t>
      </w:r>
    </w:p>
    <w:p>
      <w:pPr>
        <w:spacing w:before="240" w:after="240"/>
        <w:rPr>
          <w:lang w:val="el" w:eastAsia="el"/>
        </w:rPr>
      </w:pPr>
      <w:r>
        <w:rPr>
          <w:b/>
          <w:bCs/>
          <w:lang w:val="el" w:eastAsia="el"/>
        </w:rPr>
        <w:t xml:space="preserve">4. </w:t>
      </w:r>
      <w:r>
        <w:rPr>
          <w:b/>
          <w:bCs/>
          <w:lang w:val="el" w:eastAsia="el"/>
        </w:rPr>
        <w:t>Το Κεφάλαιο Α΄ «Σύσταση Ανεξάρτητης Αρχής Δημοσίων Εσόδων» του ν. 4389/2016 (Α΄ 94) και ειδικότερα του άρθρου 7, της παρ. 1 του άρθρου 14 και του άρθρου 41 αυτού.</w:t>
      </w:r>
    </w:p>
    <w:p>
      <w:pPr>
        <w:spacing w:before="240" w:after="240"/>
        <w:rPr>
          <w:lang w:val="el" w:eastAsia="el"/>
        </w:rPr>
      </w:pPr>
      <w:r>
        <w:rPr>
          <w:b/>
          <w:bCs/>
          <w:lang w:val="el" w:eastAsia="el"/>
        </w:rPr>
        <w:t xml:space="preserve">5.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6.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 υπό στοιχεία 5294 ΕΞ 2020/17.1.2020 (Υ.Ο.Δ.Δ. 27) του Υπουργού Οικονομικών και υπό στοιχεία 7608 ΕΞ 2025/17.1.2025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 xml:space="preserve">7. </w:t>
      </w:r>
      <w:r>
        <w:rPr>
          <w:b/>
          <w:bCs/>
          <w:lang w:val="el" w:eastAsia="el"/>
        </w:rPr>
        <w:t>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μερίσματα, τόκους, δικαιώματα που χορηγούνται από τους καταβάλλοντες τα παραπάνω εισοδήματα.</w:t>
      </w:r>
    </w:p>
    <w:p>
      <w:pPr>
        <w:spacing w:before="240" w:after="240"/>
        <w:rPr>
          <w:lang w:val="el" w:eastAsia="el"/>
        </w:rPr>
      </w:pPr>
      <w:r>
        <w:rPr>
          <w:b/>
          <w:bCs/>
          <w:lang w:val="el" w:eastAsia="el"/>
        </w:rPr>
        <w:t xml:space="preserve">8. </w:t>
      </w:r>
      <w:r>
        <w:rPr>
          <w:b/>
          <w:bCs/>
          <w:lang w:val="el" w:eastAsia="el"/>
        </w:rPr>
        <w:t>Την ανάγκη τροποποίησης του Παραρτήματος Β της υπό στοιχεία Α.1100/2019 απόφασης του Διοικητή της Α.Α.Δ.Ε., με σκοπό την αντιμετώπιση της περίπτωσης κεφαλαιοποίησης αποθεματικών των άρθρων 71Β και 71Γ.</w:t>
      </w:r>
    </w:p>
    <w:p>
      <w:pPr>
        <w:spacing w:before="240" w:after="240"/>
        <w:rPr>
          <w:lang w:val="el" w:eastAsia="el"/>
        </w:rPr>
      </w:pPr>
      <w:r>
        <w:rPr>
          <w:b/>
          <w:bCs/>
          <w:lang w:val="el" w:eastAsia="el"/>
        </w:rPr>
        <w:t xml:space="preserve">9. </w:t>
      </w:r>
      <w:r>
        <w:rPr>
          <w:b/>
          <w:bCs/>
          <w:lang w:val="el" w:eastAsia="el"/>
        </w:rPr>
        <w:t>Την ανάγκη απόδοσης του Ψηφιακού Τέλους Συναλλαγής επί των συναλλαγών των άρθρων 7 έως 21 του ν. 5135/2024 (Α’ 147), εφόσον για αυτές προκύπτει υποχρέωση παρακράτησης και απόδοσης φόρου σύμφωνα με το άρθρο 61 του ΚΦΕ, με βάση τις διατάξεις της παρ. 3 του άρθρου 5 του ν. 5135/2024 (Α’ 147).</w:t>
      </w:r>
    </w:p>
    <w:p>
      <w:pPr>
        <w:spacing w:before="240" w:after="240"/>
        <w:rPr>
          <w:lang w:val="el" w:eastAsia="el"/>
        </w:rPr>
      </w:pPr>
      <w:r>
        <w:rPr>
          <w:b/>
          <w:bCs/>
          <w:lang w:val="el" w:eastAsia="el"/>
        </w:rPr>
        <w:t xml:space="preserve">10. </w:t>
      </w:r>
      <w:r>
        <w:rPr>
          <w:b/>
          <w:bCs/>
          <w:lang w:val="el" w:eastAsia="el"/>
        </w:rPr>
        <w:t>Την υπό στοιχεία Α. 1012/2025 (Β’ 391) απόφαση του Διοικητή της Α.Α.Δ.Ε., με την οποία τροποποιήθηκε η υπό στοιχεία ΠΟΛ. 1168/2018 απόφαση του Διοικητή της Α.Α.Δ.Ε. «Τύπος και περιεχόμενο της δήλωσης απόδοσης φόρου σε περίπτωση κεφαλαιοποίησης αφορολόγητων αποθεματικών με βάση τις διατάξεις των άρθρων 71Β και 71Γ του ν. 4172/2013» (Β΄ 3717).</w:t>
      </w:r>
    </w:p>
    <w:p>
      <w:pPr>
        <w:spacing w:before="240" w:after="240"/>
        <w:rPr>
          <w:lang w:val="el" w:eastAsia="el"/>
        </w:rPr>
      </w:pPr>
      <w:r>
        <w:rPr>
          <w:b/>
          <w:bCs/>
          <w:lang w:val="el" w:eastAsia="el"/>
        </w:rPr>
        <w:t xml:space="preserve">11.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 xml:space="preserve">12.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παρ. 1 του άρθρου 3 της Α.1100/2019 (Β΄ 951) απόφασης του Διοικητή της Α.Α.Δ.Ε. αντικαθίσταται ως εξής:</w:t>
      </w:r>
    </w:p>
    <w:p>
      <w:pPr>
        <w:spacing w:before="240" w:after="240"/>
        <w:rPr>
          <w:lang w:val="el" w:eastAsia="el"/>
        </w:rPr>
      </w:pPr>
      <w:r>
        <w:rPr>
          <w:b/>
          <w:bCs/>
          <w:lang w:val="el" w:eastAsia="el"/>
        </w:rPr>
        <w:t xml:space="preserve">«1. </w:t>
      </w:r>
      <w:r>
        <w:rPr>
          <w:b/>
          <w:bCs/>
          <w:lang w:val="el" w:eastAsia="el"/>
        </w:rPr>
        <w:t>Ο τύπος και το περιεχόμενο των δηλώσεων απόδοσης παρακρατούμενου φόρου στα εισοδήματα από μερίσματα, τόκους και δικαιώματα και απόδοσης Ψηφιακού Τέλους Συναλλαγής επί των συναλλαγών των άρθρων 7 έως 21 του ν. 5135/2024, εφόσον για αυτές προκύπτει υποχρέωση παρακράτησης και απόδοσης φόρου σύμφωνα με το άρθρο 61 του ΚΦΕ, με βάση τις διατάξεις της παρ. 3 του άρθρου 5 του ν. 5135/2024, έχουν ως τα συνημμένα υποδείγματα, τα οποία επισυνάπτονται ως Παραρτήματα Α1, Α2 και Α3 της παρούσας, αντίστοιχα, και αποτελούν αναπόσπαστο μέρος αυτής.».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Τα Παραρτήματα Α1, Α2, Α3 και το Παράρτημα Β της Α.1100/2019 Απόφασης του Διοικητή της Α.Α.Δ.Ε. (Β΄ 951) αντικαθίστανται από τα συνημμένα στην παρούσα νέα Παραρτήματα Α1, Α2, Α3 και Β.</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Τα Παραρτήματα Α2, Α3 και Β, ως προς το Ψηφιακό Τέλος Συναλλαγής, όπως αντικαθίστανται με την παρούσα, ισχύουν για πράξεις, συμβάσεις και συναλλαγές που καταρτίζονται ή διενεργούνται από την 1</w:t>
      </w:r>
      <w:r>
        <w:rPr>
          <w:b/>
          <w:bCs/>
          <w:sz w:val="30"/>
          <w:szCs w:val="30"/>
          <w:vertAlign w:val="superscript"/>
          <w:lang w:val="el" w:eastAsia="el"/>
        </w:rPr>
        <w:t>η</w:t>
      </w:r>
      <w:r>
        <w:rPr>
          <w:b/>
          <w:bCs/>
          <w:lang w:val="el" w:eastAsia="el"/>
        </w:rPr>
        <w:t xml:space="preserve"> Δεκεμβρίου 2024. Κατά τα λοιπά η παρούσα ισχύει για πληρωμές που πραγματοποιούνται από τη δημοσίευσή της στην Εφημερίδα της Κυβερνήσεως .</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 Παράρτημα Α1, Α2, Α3, Β</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 Γενική Γραμματεία Εμπορίου, Γενική Δ/νση Αγοράς και Προστασίας Καταναλωτή,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