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3789 ΕΞ 2025</w:t>
      </w:r>
    </w:p>
    <w:p>
      <w:pPr>
        <w:pStyle w:val="PreambelText"/>
        <w:spacing w:before="240" w:after="240"/>
        <w:rPr>
          <w:lang w:val="el" w:eastAsia="el"/>
        </w:rPr>
      </w:pPr>
      <w:r>
        <w:rPr>
          <w:b/>
          <w:bCs/>
          <w:lang w:val="el" w:eastAsia="el"/>
        </w:rPr>
        <w:t>Καθορισμός διαλειτουργικοτήτων και κάθε άλλου σχετικού θέματος με την εφαρμογή του άρθρου 18 του ν. 5113/2024.</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ΨΗΦΙΑΚΗΣ ΔΙΑΚΥΒΕΡΝΗΣΗΣ -</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w:t>
      </w:r>
    </w:p>
    <w:p>
      <w:pPr>
        <w:pStyle w:val="PreambelText"/>
        <w:spacing w:before="240" w:after="240"/>
        <w:rPr>
          <w:lang w:val="el" w:eastAsia="el"/>
        </w:rPr>
      </w:pPr>
      <w:r>
        <w:rPr>
          <w:lang w:val="el" w:eastAsia="el"/>
        </w:rPr>
        <w:t>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Μέρους Γ’ του ν. 5113/2024 (Α’ 96) περί «Εντοπισμού και Εκκαθάρισης Αδρανών και Ανασφάλιστων Οχημάτων» και ιδίως των άρθρων 17, 18 και της παρ. 2 του άρθρου 28 αυτού,</w:t>
      </w:r>
    </w:p>
    <w:p>
      <w:pPr>
        <w:pStyle w:val="StructureList1"/>
        <w:spacing w:before="120" w:after="0"/>
        <w:rPr>
          <w:lang w:val="el" w:eastAsia="el"/>
        </w:rPr>
      </w:pPr>
      <w:r>
        <w:rPr>
          <w:lang w:val="el" w:eastAsia="el"/>
        </w:rPr>
        <w:t>β)</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γ)</w:t>
      </w:r>
      <w:r>
        <w:rPr>
          <w:lang w:val="en" w:eastAsia="en"/>
        </w:rPr>
        <w:tab/>
      </w:r>
      <w:r>
        <w:rPr>
          <w:lang w:val="el" w:eastAsia="el"/>
        </w:rPr>
        <w:t>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lang w:val="el" w:eastAsia="el"/>
        </w:rPr>
        <w:t>του ν. 5104/2024 «Κώδικας Φορολογικής Διαδικασίας και άλλες διατάξεις» (Α’ 58) και ιδίως των άρθρων 10 και 21 αυτού,</w:t>
      </w:r>
    </w:p>
    <w:p>
      <w:pPr>
        <w:pStyle w:val="StructureList1"/>
        <w:spacing w:before="120" w:after="0"/>
        <w:rPr>
          <w:lang w:val="el" w:eastAsia="el"/>
        </w:rPr>
      </w:pPr>
      <w:r>
        <w:rPr>
          <w:lang w:val="el" w:eastAsia="el"/>
        </w:rPr>
        <w:t>ε)</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StructureList1"/>
        <w:spacing w:before="120" w:after="0"/>
        <w:rPr>
          <w:lang w:val="el" w:eastAsia="el"/>
        </w:rPr>
      </w:pPr>
      <w:r>
        <w:rPr>
          <w:lang w:val="el" w:eastAsia="el"/>
        </w:rPr>
        <w:t>στ)</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StructureList1"/>
        <w:spacing w:before="120" w:after="0"/>
        <w:rPr>
          <w:lang w:val="el" w:eastAsia="el"/>
        </w:rPr>
      </w:pPr>
      <w:r>
        <w:rPr>
          <w:lang w:val="el" w:eastAsia="el"/>
        </w:rPr>
        <w:t>ζ)</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θ)</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ι)</w:t>
      </w:r>
      <w:r>
        <w:rPr>
          <w:lang w:val="en" w:eastAsia="en"/>
        </w:rPr>
        <w:tab/>
      </w:r>
      <w:r>
        <w:rPr>
          <w:lang w:val="el" w:eastAsia="el"/>
        </w:rPr>
        <w:t>του π.δ. 40/2020 «Οργανισμός Υπουργείου Ψηφιακής Διακυβέρνησης» (Α’ 85),</w:t>
      </w:r>
    </w:p>
    <w:p>
      <w:pPr>
        <w:pStyle w:val="StructureList1"/>
        <w:spacing w:before="120" w:after="0"/>
        <w:rPr>
          <w:lang w:val="el" w:eastAsia="el"/>
        </w:rPr>
      </w:pPr>
      <w:r>
        <w:rPr>
          <w:lang w:val="el" w:eastAsia="el"/>
        </w:rPr>
        <w:t>ια)</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μόνο του π.δ. 63/2005 «Κωδικοποίηση της νομοθεσίας για τη κυβέρνηση και τα κυβερνητικά όργανα» (Α’ 96),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3. Την υπό στοιχεία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4. Την υπό στοιχεία 24596 ΕΞ 2023/18.5.2023 κοινή απόφαση των Υπουργών Ψηφιακής Διακυβέρνησης και Επικρατείας «Αντικατάσταση της υπ’ αρ. 6810 ΕΞ 2021 κοινής υπουργικής απόφασης "Λειτουργία Εθνικού Μητρώου Επικοινωνίας (Ε.Μ.Επ)” (Β’ 988)» (Β’ 3399).</w:t>
      </w:r>
    </w:p>
    <w:p>
      <w:pPr>
        <w:pStyle w:val="PreambelText"/>
        <w:spacing w:before="240" w:after="240"/>
        <w:rPr>
          <w:lang w:val="el" w:eastAsia="el"/>
        </w:rPr>
      </w:pPr>
      <w:r>
        <w:rPr>
          <w:lang w:val="el" w:eastAsia="el"/>
        </w:rPr>
        <w:t>5.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την υπ’ αρ. 39/3/30.11.2017 (Υ.Ο.Δ.Δ. 689) απόφαση του Συμβουλίου Διοίκησης της Α.Α.Δ.Ε. και την υπό στοιχεία 7608 ΕΞ 2025/17.01.2025 απόφαση του Υπουργού Εθνικής Οικονομίας και Οικονομικών «Ανανέωση της θητείας του Διοικητή της Ανεξάρτητης Αρχής Δημοσίων Εσόδων» (Υ.Ο.Δ.Δ. 11).</w:t>
      </w:r>
    </w:p>
    <w:p>
      <w:pPr>
        <w:pStyle w:val="PreambelText"/>
        <w:spacing w:before="240" w:after="240"/>
        <w:rPr>
          <w:lang w:val="el" w:eastAsia="el"/>
        </w:rPr>
      </w:pPr>
      <w:r>
        <w:rPr>
          <w:lang w:val="el" w:eastAsia="el"/>
        </w:rPr>
        <w:t>6. Το γεγονός ότι με την παρούσα, δεν προκύπτουν περαιτέρω δημοσιονομικές επιπτώσεις στον κρατικό προϋπολογισμό για το τρέχον οικονομικό έτος και για κάθε ένα από τα επόμενα έτη του εγκεκριμένου Μ.Π.Δ.Σ., σύμφωνα με την υπό στοιχεία ΑΠ 2651 ΕΞ 2025 εισήγηση δημοσιονομικών επιπτώσεων του Υπουργείου Ψηφιακής Διακυβέρνησης καθώς και στον προϋπολογισμό της Ανεξάρτητης Αρχής Δημοσίων Εσόδων,</w:t>
      </w:r>
    </w:p>
    <w:p>
      <w:pPr>
        <w:pStyle w:val="PreambelText"/>
        <w:spacing w:before="240" w:after="240"/>
        <w:rPr>
          <w:lang w:val="el" w:eastAsia="el"/>
        </w:rPr>
      </w:pPr>
      <w:r>
        <w:rPr>
          <w:lang w:val="el" w:eastAsia="el"/>
        </w:rPr>
        <w:t>7. Το γεγονός ότι οι διατάξεις της παρούσας δεν αφορούν σε διοικητική διαδικασία για την οποία υπάρχει υποχρέωση καταχώρησης στο ΕΜΔΔ-ΜΙΤΟΣ,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 Σκοπός</w:t>
      </w:r>
    </w:p>
    <w:p>
      <w:pPr>
        <w:pStyle w:val="MainText"/>
        <w:spacing w:before="120" w:after="0"/>
        <w:rPr>
          <w:lang w:val="el" w:eastAsia="el"/>
        </w:rPr>
      </w:pPr>
      <w:r>
        <w:rPr>
          <w:b/>
          <w:bCs/>
          <w:lang w:val="el" w:eastAsia="el"/>
        </w:rPr>
        <w:t>1.</w:t>
      </w:r>
      <w:r>
        <w:rPr>
          <w:lang w:val="el" w:eastAsia="el"/>
        </w:rPr>
        <w:t xml:space="preserve"> Για τον προσδιορισμό των προς εκκαθάριση αδρανών οχημάτων των Μητρώων Οχημάτων των αρχών του άρθρου 17 του ν. 5113/2024 και των σχετιζόμενων με αυτά προσώπων, εφαρμόζεται από τη Γενική Γραμματεία Πληροφοριακών Συστημάτων και Ψηφιακής Διακυβέρνησης (Γ.Γ.Π.Σ.Ψ.Δ.) του Υπουργείου Ψηφιακής Διακυβέρνησης, η ηλεκτρονική διασταύρωση δεδομένων του άρθρου 18 του ίδιου νόμου στα δεδομένα που αντλούνται μέσω διαλειτουργικότητας ή διαβιβάζονται σε ηλεκτρονικά αρχεία με ασφαλή διαδικασία.</w:t>
      </w:r>
    </w:p>
    <w:p>
      <w:pPr>
        <w:pStyle w:val="MainText"/>
        <w:spacing w:before="120" w:after="0"/>
        <w:rPr>
          <w:lang w:val="el" w:eastAsia="el"/>
        </w:rPr>
      </w:pPr>
      <w:r>
        <w:rPr>
          <w:b/>
          <w:bCs/>
          <w:lang w:val="el" w:eastAsia="el"/>
        </w:rPr>
        <w:t>2.</w:t>
      </w:r>
      <w:r>
        <w:rPr>
          <w:lang w:val="el" w:eastAsia="el"/>
        </w:rPr>
        <w:t xml:space="preserve"> Αντικείμενο της παρούσας αποτελεί η ρύθμιση των ειδικότερων ζητημάτων σχετικά με τη διαλειτουργικότητα μεταξύ της Ανεξάρτητης Αρχής Δημοσίων Εσόδων (Α.Α.Δ.Ε.) και της Γενικής Γραμματείας Πληροφοριακών Συστημάτων και Ψηφιακής Διακυβέρνησης και ειδικότερα ο προσδιορισμός των δεδομένων και ο καθορισμός του τρόπου και της περιοδικότητας διαβίβασής τους από τα μητρώα του άρθρου 2 στη Γ.Γ.Π.Σ.Ψ.Δ..</w:t>
      </w:r>
    </w:p>
    <w:p>
      <w:pPr>
        <w:pStyle w:val="MainText"/>
        <w:spacing w:before="120" w:after="0"/>
        <w:rPr>
          <w:lang w:val="el" w:eastAsia="el"/>
        </w:rPr>
      </w:pPr>
      <w:r>
        <w:rPr>
          <w:b/>
          <w:bCs/>
          <w:lang w:val="el" w:eastAsia="el"/>
        </w:rPr>
        <w:t>3.</w:t>
      </w:r>
      <w:r>
        <w:rPr>
          <w:lang w:val="el" w:eastAsia="el"/>
        </w:rPr>
        <w:t xml:space="preserve"> Σκοπός της παρούσας είναι η διαβίβαση των αναγκαίων δεδομένων από τα μητρώα της Α.Α.Δ.Ε. στη Γ.Γ.Π.Σ.Ψ.Δ. για τη διενέργεια της ηλεκτρονικής διασταύρωσης του άρθρου 18 του ν. 5113/2024. Για την κάλυψη των πιθανών περιπτώσεων οχημάτων που δύναται να υπαχθούν σε κατάσταση αδράνειας, απαιτείται η επεξεργασία του συνόλου των τηρούμενων δεδομένων του άρθρου 2 κατά την εφαρμογή της ηλεκτρονικής διασταύρωσης του προηγούμενου εδαφίου.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Άντληση δεδομένων</w:t>
      </w:r>
    </w:p>
    <w:p>
      <w:pPr>
        <w:spacing w:before="240" w:after="240"/>
        <w:rPr>
          <w:lang w:val="el" w:eastAsia="el"/>
        </w:rPr>
      </w:pPr>
      <w:r>
        <w:rPr>
          <w:lang w:val="el" w:eastAsia="el"/>
        </w:rPr>
        <w:t>Για την επίτευξη του σκοπού της παρ. 1 του άρθρου 1, διαβιβάζονται στη Γ.Γ.Π.Σ.Ψ.Δ. τα στοιχεία των εγγεγραμμένων οχημάτων, τα οποία τηρούνται στα κάτωθι Μητρώα, αρχεία και πληροφοριακά συστήματα της Α.Α.Δ.Ε: α. Το αρχείο των συναλλαγών των ακινησιών από το 1990 και έπειτα, καθώς και των οχημάτων τα οποία έχουν τεθεί σε ακινησία και μέχρι σήμερα δεν έχει αρθεί αυτή (ιδίως: αριθμός κυκλοφορίας οχήματος, χρονικό διάστημα ακινησίας (από - έως), αριθμός πλαισίου, κατηγορία οχήματος),</w:t>
      </w:r>
    </w:p>
    <w:p>
      <w:pPr>
        <w:spacing w:before="240" w:after="240"/>
        <w:rPr>
          <w:lang w:val="el" w:eastAsia="el"/>
        </w:rPr>
      </w:pPr>
      <w:r>
        <w:rPr>
          <w:lang w:val="el" w:eastAsia="el"/>
        </w:rPr>
        <w:t>β. το αρχείο καταβολής των τελών κυκλοφορίας από το 1990 και έπειτα (ιδίως: αριθμός κυκλοφορίας οχήματος, έτος, ένδειξη ολικής ή μερικής καταβολής, απαλλασσόμενου, αριθμός πλαισίου, κατηγορία οχήματος),</w:t>
      </w:r>
    </w:p>
    <w:p>
      <w:pPr>
        <w:spacing w:before="240" w:after="240"/>
        <w:rPr>
          <w:lang w:val="el" w:eastAsia="el"/>
        </w:rPr>
      </w:pPr>
      <w:r>
        <w:rPr>
          <w:lang w:val="el" w:eastAsia="el"/>
        </w:rPr>
        <w:t>γ. στοιχεία του υποσυστήματος εξαγωγών του ICISnet (ιδίως: αριθμός πλαισίου, ημ/νία αποδοχής παραστατικού, αναγνωριστικό διασάφησης εισαγωγής, αα στίχου διασάφησης εξαγωγής, ΑΦΜ/EORI, αρ. EORI, κατάσταση παραστατικού, ένδειξη καθεστώτος, προθεσμία λήξης καθεστώτος, αναγνωριστικό παραστατικού επανεισαγωγής),</w:t>
      </w:r>
    </w:p>
    <w:p>
      <w:pPr>
        <w:spacing w:before="240" w:after="240"/>
        <w:rPr>
          <w:lang w:val="el" w:eastAsia="el"/>
        </w:rPr>
      </w:pPr>
      <w:r>
        <w:rPr>
          <w:lang w:val="el" w:eastAsia="el"/>
        </w:rPr>
        <w:t>δ. στοιχεία από το μητρώο οχημάτων με ένδειξη ότι δεν υπάρχουν ως εγγραφή στο Υπουργείο Υποδομών και Μεταφορών (ιδίως: αριθμός κυκλοφορίας οχήματος, αριθμός πλαισίου, κατηγορία οχήματος, έτος πρώτης κυκλοφορίας, τεχνικά χαρακτηριστικά),</w:t>
      </w:r>
    </w:p>
    <w:p>
      <w:pPr>
        <w:spacing w:before="240" w:after="240"/>
        <w:rPr>
          <w:lang w:val="el" w:eastAsia="el"/>
        </w:rPr>
      </w:pPr>
      <w:r>
        <w:rPr>
          <w:lang w:val="el" w:eastAsia="el"/>
        </w:rPr>
        <w:t>ε. στοιχεία μητρώου βάσει ΑΦΜ, με διαλειτουργικότητα σε περίπτωση που απαιτηθούν (ιδίως: ονοματεπώνυμο ή επωνυμία, θάνατος, διακοπή νομικού προσώπου).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Τρόπος διαβίβασης δεδομένων</w:t>
      </w:r>
    </w:p>
    <w:p>
      <w:pPr>
        <w:pStyle w:val="MainText"/>
        <w:spacing w:before="120" w:after="0"/>
        <w:rPr>
          <w:lang w:val="el" w:eastAsia="el"/>
        </w:rPr>
      </w:pPr>
      <w:r>
        <w:rPr>
          <w:b/>
          <w:bCs/>
          <w:lang w:val="el" w:eastAsia="el"/>
        </w:rPr>
        <w:t>1.</w:t>
      </w:r>
      <w:r>
        <w:rPr>
          <w:lang w:val="el" w:eastAsia="el"/>
        </w:rPr>
        <w:t xml:space="preserve"> Τα στοιχεία του άρθρου 2 διαβιβάζονται στη Γ.Γ.Π.Σ.Ψ.Δ. μέσω:</w:t>
      </w:r>
    </w:p>
    <w:p>
      <w:pPr>
        <w:pStyle w:val="StructureList1"/>
        <w:spacing w:before="120" w:after="0"/>
        <w:rPr>
          <w:lang w:val="el" w:eastAsia="el"/>
        </w:rPr>
      </w:pPr>
      <w:r>
        <w:rPr>
          <w:lang w:val="el" w:eastAsia="el"/>
        </w:rPr>
        <w:t>α)</w:t>
      </w:r>
      <w:r>
        <w:rPr>
          <w:lang w:val="en" w:eastAsia="en"/>
        </w:rPr>
        <w:tab/>
      </w:r>
      <w:r>
        <w:rPr>
          <w:lang w:val="el" w:eastAsia="el"/>
        </w:rPr>
        <w:t>Ηλεκτρονικών αρχείων τα οποία είναι προσβάσιμα από ειδικά εξουσιοδοτημένο χρήστη της βάσης δεδομένων της Γ.Γ.Π.Σ.Ψ.Δ., που ορίζεται με εισήγηση του Γενικού Διευθυντή Ανάπτυξης και Παραγωγικής Λειτουργίας Πληροφοριακών Συστημάτων Οικονομικού Τομέα και Δημόσιας Διοίκησης της Γ.Γ.Π.Σ.Ψ.Δ.,</w:t>
      </w:r>
    </w:p>
    <w:p>
      <w:pPr>
        <w:pStyle w:val="StructureList1"/>
        <w:spacing w:before="120" w:after="0"/>
        <w:rPr>
          <w:lang w:val="el" w:eastAsia="el"/>
        </w:rPr>
      </w:pPr>
      <w:r>
        <w:rPr>
          <w:lang w:val="el" w:eastAsia="el"/>
        </w:rPr>
        <w:t>β)</w:t>
      </w:r>
      <w:r>
        <w:rPr>
          <w:lang w:val="en" w:eastAsia="en"/>
        </w:rPr>
        <w:tab/>
      </w:r>
      <w:r>
        <w:rPr>
          <w:lang w:val="el" w:eastAsia="el"/>
        </w:rPr>
        <w:t>διαλειτουργικότητας με χρήση διαδικτυακών υπηρεσιών του Κέντρου Διαλειτουργικότητας (ΚΕΔ) του Υπουργείου Ψηφιακής Διακυβέρνησης.</w:t>
      </w:r>
    </w:p>
    <w:p>
      <w:pPr>
        <w:pStyle w:val="MainText"/>
        <w:spacing w:before="120" w:after="0"/>
        <w:rPr>
          <w:lang w:val="el" w:eastAsia="el"/>
        </w:rPr>
      </w:pPr>
      <w:r>
        <w:rPr>
          <w:b/>
          <w:bCs/>
          <w:lang w:val="el" w:eastAsia="el"/>
        </w:rPr>
        <w:t>2.</w:t>
      </w:r>
      <w:r>
        <w:rPr>
          <w:lang w:val="el" w:eastAsia="el"/>
        </w:rPr>
        <w:t xml:space="preserve"> Η πρώτη διαβίβαση των στοιχείων του άρθρου 2 στη Γ.Γ.Π.Σ.Ψ.Δ. διενεργείται εντός 8 εργάσιμων ημερών από την έναρξη ισχύος της παρούσας.</w:t>
      </w:r>
    </w:p>
    <w:p>
      <w:pPr>
        <w:spacing w:before="240" w:after="240"/>
        <w:rPr>
          <w:lang w:val="el" w:eastAsia="el"/>
        </w:rPr>
      </w:pPr>
      <w:r>
        <w:rPr>
          <w:lang w:val="el" w:eastAsia="el"/>
        </w:rPr>
        <w:t>Οι μεταβολές που επέρχονται στα στοιχεία του άρθρου 2 διαβιβάζονται στη Γ.Γ.Π.Σ.Ψ.Δ. τουλάχιστον 15 ημέρες πριν από κάθε διασταύρωση.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Ζητήματα προστασίας προσωπικών δεδομένων</w:t>
      </w:r>
    </w:p>
    <w:p>
      <w:pPr>
        <w:pStyle w:val="MainText"/>
        <w:spacing w:before="120" w:after="0"/>
        <w:rPr>
          <w:lang w:val="el" w:eastAsia="el"/>
        </w:rPr>
      </w:pPr>
      <w:r>
        <w:rPr>
          <w:b/>
          <w:bCs/>
          <w:lang w:val="el" w:eastAsia="el"/>
        </w:rPr>
        <w:t>1.</w:t>
      </w:r>
      <w:r>
        <w:rPr>
          <w:lang w:val="el" w:eastAsia="el"/>
        </w:rPr>
        <w:t xml:space="preserve"> Η επεξεργασία των δεδομένων είναι απαραίτητη για την εκπλήρωση καθήκοντος που εκτελείται προς το δημόσιο συμφέρον και κατά την άσκηση δημόσιας εξουσίας και για τη συμμόρφωση με έννομη υποχρέωση, σύμφωνα με τις περ. γ) και ε) της παρ. 1 και την παρ. 3 του άρθρου 6 του Γενικού Κανονισμού Προστασίας Δεδομένων (ΓΚΠΔ), σε συνδυασμό με το άρθρο 81 του ν. 4954/2022 (Α’ 136).</w:t>
      </w:r>
    </w:p>
    <w:p>
      <w:pPr>
        <w:pStyle w:val="MainText"/>
        <w:spacing w:before="120" w:after="0"/>
        <w:rPr>
          <w:lang w:val="el" w:eastAsia="el"/>
        </w:rPr>
      </w:pPr>
      <w:r>
        <w:rPr>
          <w:b/>
          <w:bCs/>
          <w:lang w:val="el" w:eastAsia="el"/>
        </w:rPr>
        <w:t>2.</w:t>
      </w:r>
      <w:r>
        <w:rPr>
          <w:lang w:val="el" w:eastAsia="el"/>
        </w:rPr>
        <w:t xml:space="preserve"> Η Γενική Γραμματεία Πληροφοριακών Συστημάτων και Ψηφιακής Διακυβέρνησης του Υπουργείου Ψηφιακής Διακυβέρνησης είναι Υπεύθυνος Επεξεργασίας για τον σκοπό της ταυτοποίησης των οχημάτων και των ιδιοκτητών ή κατόχων μεταξύ των μητρώων κατά την έννοια της παρ. 7 του άρθρου 4 του ΓΚΠΔ. Στο πλαίσιο αυτό, η Γ.Γ.Π.Σ.Ψ.Δ. λαμβάνει τα κατάλληλα τεχνικά και οργανωτικά μέτρα προκειμένου να διασφαλίζει και να μπορεί να αποδεικνύει ότι η επεξεργασία διενεργείται σύμφωνα με τον ΓΚΠΔ και τον ν. 4624/2019 (Α’ 137), μεριμνώντας ιδίως για την ενδεδειγμένη ασφάλεια των προσωπικών δεδομένων, μεταξύ άλλων, για την προστασία τους από τυχαία ή παράνομη καταστροφή, απώλεια, μεταβολή, άνευ άδειας κοινολόγηση ή πρόσβαση.</w:t>
      </w:r>
    </w:p>
    <w:p>
      <w:pPr>
        <w:spacing w:before="240" w:after="240"/>
        <w:rPr>
          <w:lang w:val="el" w:eastAsia="el"/>
        </w:rPr>
      </w:pPr>
      <w:r>
        <w:rPr>
          <w:lang w:val="el" w:eastAsia="el"/>
        </w:rPr>
        <w:t>Η Α.Α.Δ.Ε. είναι αυτοτελώς υπεύθυνη επεξεργασίας για τη διαβίβαση στη Γ.Γ.Π.Σ.Ψ.Δ. των δεδομένων του άρθρου 2 της παρούσας και έχει την υποχρέωση λήψης και διαρκούς τήρησης των κατάλληλων και αναγκαίων τεχνικών και οργανωτικών μέτρων ασφάλειας.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Φεβρουαρίου 2025</w:t>
      </w:r>
    </w:p>
    <w:p>
      <w:pPr>
        <w:spacing w:before="240" w:after="240"/>
        <w:rPr>
          <w:lang w:val="el" w:eastAsia="el"/>
        </w:rPr>
      </w:pPr>
      <w:r>
        <w:rPr>
          <w:lang w:val="el" w:eastAsia="el"/>
        </w:rPr>
        <w:t>Ο Υπουργός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p>
      <w:pPr>
        <w:spacing w:before="240" w:after="240"/>
        <w:rPr>
          <w:lang w:val="el" w:eastAsia="el"/>
        </w:rPr>
      </w:pPr>
      <w:r>
        <w:rPr>
          <w:lang w:val="el" w:eastAsia="el"/>
        </w:rPr>
        <w:t>Ο Διοικητής</w:t>
      </w:r>
    </w:p>
    <w:p>
      <w:pPr>
        <w:spacing w:before="240" w:after="240"/>
        <w:rPr>
          <w:lang w:val="el" w:eastAsia="el"/>
        </w:rPr>
      </w:pPr>
      <w:r>
        <w:rPr>
          <w:lang w:val="el" w:eastAsia="el"/>
        </w:rPr>
        <w:t>της Ανεξάρτητης Αρχής 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