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ΘΕΜΑ: Τροποποίηση της υπό στοιχεία Α.1203/16-5-2019 απόφασης του Διοικητή της ΑΑΔΕ «Δικαιολογητικά και διατυπώσεις προσδιορισμού και διαμόρφωσης της φορολογητέας αξίας για την επιβολή του τέλους ταξινόμησης στα αυτοκίνητα οχήματα και τις μοτοσικλέτες» (Β΄1933).</w:t>
      </w:r>
    </w:p>
    <w:p>
      <w:pPr>
        <w:pStyle w:val="enacting"/>
        <w:spacing w:before="120" w:after="0"/>
        <w:rPr>
          <w:lang w:val="el" w:eastAsia="el"/>
        </w:rPr>
      </w:pPr>
      <w:r>
        <w:rPr>
          <w:b/>
          <w:bCs/>
          <w:lang w:val="el" w:eastAsia="el"/>
        </w:rPr>
        <w:t>Α Π Ο Φ Α Σ 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120, 121, 121α, 122, 123, 124, 126, των παρ. 6 και 9 του άρθρου 130 και ιδίως της παρ. 10 του άρθρου 123 και του πρώτου εδαφίου της παρ. 4 του άρθρου 126 του Εθνικού Τελωνειακού Κώδικα (ν. 2960/2001, Α' 265),</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του άρθρου 4 και της παρ. 2 του άρθρου 5 του ν. 1573/1985 (Α' 201),</w:t>
      </w:r>
    </w:p>
    <w:p>
      <w:pPr>
        <w:pStyle w:val="StructureList1"/>
        <w:spacing w:before="120" w:after="0"/>
        <w:rPr>
          <w:lang w:val="el" w:eastAsia="el"/>
        </w:rPr>
      </w:pPr>
      <w:r>
        <w:rPr>
          <w:lang w:val="el" w:eastAsia="el"/>
        </w:rPr>
        <w:t>δ)</w:t>
      </w:r>
      <w:r>
        <w:rPr>
          <w:lang w:val="en" w:eastAsia="en"/>
        </w:rPr>
        <w:tab/>
      </w:r>
      <w:r>
        <w:rPr>
          <w:b/>
          <w:bCs/>
          <w:lang w:val="el" w:eastAsia="el"/>
        </w:rPr>
        <w:t>της παρ. 1 του άρθρου 16 του ν. 2227/1994 (Α' 129),</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Δ.ΟΡΓ.Α. 1125859 ΕΞ 2020/23-10-2020 απόφασης του Διοικητή της Ανεξάρτητης Αρχής Δημοσίων Εσόδων με θέμα «Οργανισμός της Ανεξάρτητης Αρχής Δημοσίων Εσόδων (ΑΑΔΕ)» (Β΄4738).</w:t>
      </w:r>
    </w:p>
    <w:p>
      <w:pPr>
        <w:pStyle w:val="PreambelText"/>
        <w:spacing w:before="240" w:after="240"/>
        <w:rPr>
          <w:lang w:val="el" w:eastAsia="el"/>
        </w:rPr>
      </w:pPr>
      <w:r>
        <w:rPr>
          <w:lang w:val="el" w:eastAsia="el"/>
        </w:rPr>
        <w:t xml:space="preserve">2. </w:t>
      </w:r>
      <w:r>
        <w:rPr>
          <w:b/>
          <w:bCs/>
          <w:lang w:val="el" w:eastAsia="el"/>
        </w:rPr>
        <w:t>Την υπό στοιχεία Δ19Α 5041533 ΕΞ 2013/2-12-2013 απόφαση του Υφυπουργού Οικονομικών «Καθιέρωση πληροφορικού συστήματος ICISnet και ηλεκτρονικών συναλλαγών, σε πλήρη εφαρμογή» (Β΄3051).</w:t>
      </w:r>
    </w:p>
    <w:p>
      <w:pPr>
        <w:pStyle w:val="PreambelText"/>
        <w:spacing w:before="240" w:after="240"/>
        <w:rPr>
          <w:lang w:val="el" w:eastAsia="el"/>
        </w:rPr>
      </w:pPr>
      <w:r>
        <w:rPr>
          <w:lang w:val="el" w:eastAsia="el"/>
        </w:rPr>
        <w:t xml:space="preserve">3. </w:t>
      </w:r>
      <w:r>
        <w:rPr>
          <w:b/>
          <w:bCs/>
          <w:lang w:val="el" w:eastAsia="el"/>
        </w:rPr>
        <w:t>Την υπό στοιχεία ΔΕΦΚ 5041345 ΕΞ 2013/28-11-2013 ΕΔΥΟ «Οδηγίες για τη λειτουργία του υποσυστήματος ΕΙΔΙΚΩΝ ΦΟΡΩΝ ΚΑΤΑΝΑΛΩΣΗΣ στο ICISnet».</w:t>
      </w:r>
    </w:p>
    <w:p>
      <w:pPr>
        <w:pStyle w:val="PreambelText"/>
        <w:spacing w:before="240" w:after="240"/>
        <w:rPr>
          <w:lang w:val="el" w:eastAsia="el"/>
        </w:rPr>
      </w:pPr>
      <w:r>
        <w:rPr>
          <w:lang w:val="el" w:eastAsia="el"/>
        </w:rPr>
        <w:t xml:space="preserve">4. </w:t>
      </w:r>
      <w:r>
        <w:rPr>
          <w:b/>
          <w:bCs/>
          <w:lang w:val="el" w:eastAsia="el"/>
        </w:rPr>
        <w:t>Την υπό στοιχεία ΔΤΔ Α 1184721 ΕΞ 2016/16-12-2016 απόφαση Γενικού Γραμματέα Δημοσίων Εσόδων «Υποχρεωτική ηλεκτρονική υποβολή των υποστηρικτικών της διασάφησης εισαγωγής εγγράφων - Τήρηση αρχείου» (Β΄4488).</w:t>
      </w:r>
    </w:p>
    <w:p>
      <w:pPr>
        <w:pStyle w:val="PreambelText"/>
        <w:spacing w:before="240" w:after="240"/>
        <w:rPr>
          <w:lang w:val="el" w:eastAsia="el"/>
        </w:rPr>
      </w:pPr>
      <w:r>
        <w:rPr>
          <w:lang w:val="el" w:eastAsia="el"/>
        </w:rPr>
        <w:t xml:space="preserve">5. </w:t>
      </w:r>
      <w:r>
        <w:rPr>
          <w:b/>
          <w:bCs/>
          <w:lang w:val="el" w:eastAsia="el"/>
        </w:rPr>
        <w:t>Την υπό στοιχεία Α. 1051/06-02-2019 απόφαση του Διοικητή της ΑΑΔΕ «Καθορισμός όρων, προϋποθέσεων και διατυπώσεων για την εφαρμογή των διατάξεων του άρθρου 129 του ν. 2960/2001, ως προς τη δήλωση άφιξης κοινοτικών οχημάτων, για σκοπούς επιβολής τέλους ταξινόμησης» (Β΄434).</w:t>
      </w:r>
    </w:p>
    <w:p>
      <w:pPr>
        <w:pStyle w:val="PreambelText"/>
        <w:spacing w:before="240" w:after="240"/>
        <w:rPr>
          <w:lang w:val="el" w:eastAsia="el"/>
        </w:rPr>
      </w:pPr>
      <w:r>
        <w:rPr>
          <w:lang w:val="el" w:eastAsia="el"/>
        </w:rPr>
        <w:t xml:space="preserve">6. </w:t>
      </w:r>
      <w:r>
        <w:rPr>
          <w:b/>
          <w:bCs/>
          <w:lang w:val="el" w:eastAsia="el"/>
        </w:rPr>
        <w:t>Την υπό στοιχεία Α.1203/16-5-2019 απόφαση του Διοικητή της ΑΑΔΕ «Δικαιολογητικά και διατυπώσεις προσδιορισμού και διαμόρφωσης της φορολογητέας αξίας για την επιβολή του τέλους ταξινόμησης στα αυτοκίνητα οχήματα και τις μοτοσικλέτες» (Β΄1933).</w:t>
      </w:r>
    </w:p>
    <w:p>
      <w:pPr>
        <w:pStyle w:val="PreambelText"/>
        <w:spacing w:before="240" w:after="240"/>
        <w:rPr>
          <w:lang w:val="el" w:eastAsia="el"/>
        </w:rPr>
      </w:pPr>
      <w:r>
        <w:rPr>
          <w:lang w:val="el" w:eastAsia="el"/>
        </w:rPr>
        <w:t xml:space="preserve">7.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υπ΄αρ. 02/13-01-2025 του Συμβουλίου Διοίκησης της ΑΑΔΕ και υπό στοιχεία 7608 ΕΞ 2025/17-01-2025 του Υπουργού Εθνικής Οικονομίας και Οικονομικών (Υ.Ο.Δ.Δ. 11) «Ανανέωση της θητείας του Διοικητή της Ανεξάρτητης Αρχής Δημοσίων Εσόδων (Α.Α.Δ.Ε.)» .</w:t>
      </w:r>
    </w:p>
    <w:p>
      <w:pPr>
        <w:pStyle w:val="PreambelText"/>
        <w:spacing w:before="240" w:after="240"/>
        <w:rPr>
          <w:lang w:val="el" w:eastAsia="el"/>
        </w:rPr>
      </w:pPr>
      <w:r>
        <w:rPr>
          <w:lang w:val="el" w:eastAsia="el"/>
        </w:rPr>
        <w:t xml:space="preserve">8. </w:t>
      </w:r>
      <w:r>
        <w:rPr>
          <w:b/>
          <w:bCs/>
          <w:lang w:val="el" w:eastAsia="el"/>
        </w:rPr>
        <w:t>Την ανάγκη επικαιροποίησης της υπό στοιχεία Α.1203/16-5-2019 απόφασης Διοικητή της Α.Α.Δ.Ε. στο πλαίσιο της καθιέρωσης της νέας διαδικασίας κεντρικοποίησης των ελέγχων και του φυσικού ελέγχου των οχημάτων, με σκοπό την απλούστευση της διαδικασίας προσδιορισμού της φορολογητέας αξίας, τον εκσυγχρονισμό των διαδικασιών και την προσαρμογή αυτών με το ψηφιακό περιβάλλον της τελωνειακής υπηρεσίας.</w:t>
      </w:r>
    </w:p>
    <w:p>
      <w:pPr>
        <w:pStyle w:val="PreambelText"/>
        <w:spacing w:before="240" w:after="240"/>
        <w:rPr>
          <w:lang w:val="el" w:eastAsia="el"/>
        </w:rPr>
      </w:pPr>
      <w:r>
        <w:rPr>
          <w:lang w:val="el" w:eastAsia="el"/>
        </w:rPr>
        <w:t xml:space="preserve">9 </w:t>
      </w:r>
      <w:r>
        <w:rPr>
          <w:b/>
          <w:bCs/>
          <w:lang w:val="el" w:eastAsia="el"/>
        </w:rPr>
        <w:t>Το γεγονός ότι από τις διατάξεις της παρούσας, δεν προκαλείται δαπάνη σε βάρος του προϋπολογισμού της Ανεξάρτητης Αρχής Δημοσίων Εσόδων (Α.Α.Δ.Ε.).</w:t>
      </w:r>
    </w:p>
    <w:p>
      <w:pPr>
        <w:pStyle w:val="PreambelText"/>
        <w:spacing w:before="240" w:after="240"/>
        <w:rPr>
          <w:lang w:val="el" w:eastAsia="el"/>
        </w:rPr>
      </w:pPr>
      <w:r>
        <w:rPr>
          <w:lang w:val="el" w:eastAsia="el"/>
        </w:rPr>
        <w:t xml:space="preserve">10. </w:t>
      </w:r>
      <w:r>
        <w:rPr>
          <w:b/>
          <w:bCs/>
          <w:lang w:val="el" w:eastAsia="el"/>
        </w:rPr>
        <w:t>Το γεγονός ότι με τις διατάξεις της παρούσας τροποποιείται η διοικητική διαδικασία με επίσημο τίτλο «Δικαιολογητικά και διατυπώσεις προσδιορισμού και διαμόρφωσης φορολογητέας αξίας για επιβολή τέλους ταξινόμησης οχημάτων» και Μοναδικό Αριθμό Καταχώρισης (Μ.Α.Κ.) στο ΕΜΔΔ «Μίτος» 838917.</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Η υπό στοιχεία Α.1203/16-5-2019 απόφαση του Διοικητή της Α.Α.Δ.Ε. (Β΄1933) τροποποιείται,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Στο άρθρο 4 αντικαθίστανται οι παρ. 3, 4 και 5, ως εξής:</w:t>
      </w:r>
    </w:p>
    <w:p>
      <w:pPr>
        <w:spacing w:before="240" w:after="240"/>
        <w:rPr>
          <w:lang w:val="el" w:eastAsia="el"/>
        </w:rPr>
      </w:pPr>
      <w:r>
        <w:rPr>
          <w:lang w:val="el" w:eastAsia="el"/>
        </w:rPr>
        <w:t xml:space="preserve">«3 </w:t>
      </w:r>
      <w:r>
        <w:rPr>
          <w:b/>
          <w:bCs/>
          <w:lang w:val="el" w:eastAsia="el"/>
        </w:rPr>
        <w:t>. Οι αρμόδιες για την βεβαίωση του τέλους ταξινόμησης τελωνειακές αρχές, στις οποίες υποβάλλεται το παραστατικό θέσης σε ανάλωση των οχημάτων, προβαίνουν στη διαμόρφωση της φορολογητέας αξίας στις ακόλουθες περιπτώσεις:</w:t>
      </w:r>
    </w:p>
    <w:p>
      <w:pPr>
        <w:spacing w:before="240" w:after="240"/>
        <w:rPr>
          <w:lang w:val="el" w:eastAsia="el"/>
        </w:rPr>
      </w:pPr>
      <w:r>
        <w:rPr>
          <w:b/>
          <w:bCs/>
          <w:lang w:val="el" w:eastAsia="el"/>
        </w:rPr>
        <w:t>α. καινούργια φορτηγά αυτοκίνητα μικτού βάρους πάνω από 3,5 τόνους και βάσεις αυτών,</w:t>
      </w:r>
    </w:p>
    <w:p>
      <w:pPr>
        <w:spacing w:before="240" w:after="240"/>
        <w:rPr>
          <w:lang w:val="el" w:eastAsia="el"/>
        </w:rPr>
      </w:pPr>
      <w:r>
        <w:rPr>
          <w:b/>
          <w:bCs/>
          <w:lang w:val="el" w:eastAsia="el"/>
        </w:rPr>
        <w:t>β. καινούργιες μοτοσικλέτες της Δ.Κ. 87.11.</w:t>
      </w:r>
    </w:p>
    <w:p>
      <w:pPr>
        <w:spacing w:before="240" w:after="240"/>
        <w:rPr>
          <w:lang w:val="el" w:eastAsia="el"/>
        </w:rPr>
      </w:pPr>
      <w:r>
        <w:rPr>
          <w:lang w:val="el" w:eastAsia="el"/>
        </w:rPr>
        <w:t xml:space="preserve">4. </w:t>
      </w:r>
      <w:r>
        <w:rPr>
          <w:b/>
          <w:bCs/>
          <w:lang w:val="el" w:eastAsia="el"/>
        </w:rPr>
        <w:t>Επίσης, οι αρμόδιες για την βεβαίωση του τέλους ταξινόμησης τελωνειακές αρχές προβαίνουν, κατά περίπτωση, στη διαμόρφωση της φορολογητέας αξίας, για τα οχήματα των ανωτέρω παρ. 1 και 2.</w:t>
      </w:r>
    </w:p>
    <w:p>
      <w:pPr>
        <w:spacing w:before="240" w:after="240"/>
        <w:rPr>
          <w:lang w:val="el" w:eastAsia="el"/>
        </w:rPr>
      </w:pPr>
      <w:r>
        <w:rPr>
          <w:lang w:val="el" w:eastAsia="el"/>
        </w:rPr>
        <w:t xml:space="preserve">5. </w:t>
      </w:r>
      <w:r>
        <w:rPr>
          <w:b/>
          <w:bCs/>
          <w:lang w:val="el" w:eastAsia="el"/>
        </w:rPr>
        <w:t>Η φορολογητέα αξία των οχημάτων που παράγονται ή προέρχονται από διασκευή προσδιορίζεται και διαμορφώνεται από τις Τελωνειακές Περιφέρειες ή τις αρμόδιες για την βεβαίωση του τέλους ταξινόμησης τελωνειακές αρχές, κατά περίπτωση, σύμφωνα με τα οριζόμενα στο άρθρο 10 της απόφασης.».</w:t>
      </w:r>
    </w:p>
    <w:p>
      <w:pPr>
        <w:pStyle w:val="MainText"/>
        <w:spacing w:before="120" w:after="0"/>
        <w:rPr>
          <w:lang w:val="el" w:eastAsia="el"/>
        </w:rPr>
      </w:pPr>
      <w:r>
        <w:rPr>
          <w:b/>
          <w:bCs/>
          <w:lang w:val="el" w:eastAsia="el"/>
        </w:rPr>
        <w:t>2.</w:t>
      </w:r>
      <w:r>
        <w:rPr>
          <w:lang w:val="el" w:eastAsia="el"/>
        </w:rPr>
        <w:t xml:space="preserve"> </w:t>
      </w:r>
      <w:r>
        <w:rPr>
          <w:b/>
          <w:bCs/>
          <w:lang w:val="el" w:eastAsia="el"/>
        </w:rPr>
        <w:t>Στο άρθρο 5 τροποποιούνται οι περ. ε. και ζ. της παρ.1 και η παρ.2 και οι παρ. 1 και 2 του άρθρου 5 διαμορφώνονται, ως εξής:</w:t>
      </w:r>
    </w:p>
    <w:p>
      <w:pPr>
        <w:spacing w:before="240" w:after="240"/>
        <w:rPr>
          <w:lang w:val="el" w:eastAsia="el"/>
        </w:rPr>
      </w:pPr>
      <w:r>
        <w:rPr>
          <w:lang w:val="el" w:eastAsia="el"/>
        </w:rPr>
        <w:t xml:space="preserve">«1 </w:t>
      </w:r>
      <w:r>
        <w:rPr>
          <w:b/>
          <w:bCs/>
          <w:lang w:val="el" w:eastAsia="el"/>
        </w:rPr>
        <w:t>. Τα έγγραφα που, κατά περίπτωση, συνυποβάλλονται, με το παραστατικό θέσης σε ανάλωση ενός οχήματος, μεταξύ άλλων και για τον προσδιορισμό και τη διαμόρφωση της φορολογητέας αξίας είναι τα ακόλουθα: α. Τιμολόγιο.</w:t>
      </w:r>
    </w:p>
    <w:p>
      <w:pPr>
        <w:spacing w:before="240" w:after="240"/>
        <w:rPr>
          <w:lang w:val="el" w:eastAsia="el"/>
        </w:rPr>
      </w:pPr>
      <w:r>
        <w:rPr>
          <w:b/>
          <w:bCs/>
          <w:lang w:val="el" w:eastAsia="el"/>
        </w:rPr>
        <w:t>β. Δήλωση Εξοπλισμού και Αξίας (Δ.Ε.Α.), ως ΠΑΡΑΡΤΗΜΑ Ι. γ. Δήλωση Εξοπλισμού, (Δ.Ε.), ως ΠΑΡΑΡΤΗΜΑ ΙΙ.</w:t>
      </w:r>
    </w:p>
    <w:p>
      <w:pPr>
        <w:spacing w:before="240" w:after="240"/>
        <w:rPr>
          <w:lang w:val="el" w:eastAsia="el"/>
        </w:rPr>
      </w:pPr>
      <w:r>
        <w:rPr>
          <w:b/>
          <w:bCs/>
          <w:lang w:val="el" w:eastAsia="el"/>
        </w:rPr>
        <w:t>δ. Αντίγραφα του πιστοποιητικού συμμόρφωσης, της έγκρισης τύπου ή του δελτίου κοινοποίησης έγκρισης τύπου, ή των πιστοποιητικών, ή βεβαιώσεων διαπίστωσης των εκπομπών διοξειδίου του άνθρακα και του προτύπου εκπομπών ρύπων, κατά περίπτωση.</w:t>
      </w:r>
    </w:p>
    <w:p>
      <w:pPr>
        <w:spacing w:before="240" w:after="240"/>
        <w:rPr>
          <w:lang w:val="el" w:eastAsia="el"/>
        </w:rPr>
      </w:pPr>
      <w:r>
        <w:rPr>
          <w:b/>
          <w:bCs/>
          <w:lang w:val="el" w:eastAsia="el"/>
        </w:rPr>
        <w:t>ε. Βεβαίωση, είτε του εργοστασίου κατασκευής, είτε από επίσημη αντιπροσωπεία του εξωτερικού ή εσωτερικού από την οποία θα προκύπτουν ανά κωδικό και περιγραφή, τα είδη του προαιρετικού (EXTRA) εξοπλισμού του οχήματος, σε κάθε περίπτωση με διακριτό τρόπο και σχετική αναφορά στον αριθμό πλαισίου και την έκδοση αυτού.</w:t>
      </w:r>
    </w:p>
    <w:p>
      <w:pPr>
        <w:spacing w:before="240" w:after="240"/>
        <w:rPr>
          <w:lang w:val="el" w:eastAsia="el"/>
        </w:rPr>
      </w:pPr>
      <w:r>
        <w:rPr>
          <w:b/>
          <w:bCs/>
          <w:lang w:val="el" w:eastAsia="el"/>
        </w:rPr>
        <w:t>Επιπλέον, προκειμένου για μεταχειρισμένα επιβατικά οχήματα συνυποβάλλονται: στ. Φωτοαντίγραφα εκ του πρωτοτύπου των αλλοδαπών εγγράφων ταξινόμησης (άδεια κυκλοφορίας).</w:t>
      </w:r>
    </w:p>
    <w:p>
      <w:pPr>
        <w:spacing w:before="240" w:after="240"/>
        <w:rPr>
          <w:lang w:val="el" w:eastAsia="el"/>
        </w:rPr>
      </w:pPr>
      <w:r>
        <w:rPr>
          <w:b/>
          <w:bCs/>
          <w:lang w:val="el" w:eastAsia="el"/>
        </w:rPr>
        <w:t>ζ. Υπεύθυνη δήλωση</w:t>
      </w:r>
      <w:hyperlink r:id="rId4" w:history="1">
        <w:r>
          <w:rPr>
            <w:rStyle w:val="Hyperlink"/>
            <w:b/>
            <w:bCs/>
            <w:color w:val="0000EE"/>
            <w:u w:color="0000EE"/>
            <w:lang w:val="el" w:eastAsia="el"/>
          </w:rPr>
          <w:t xml:space="preserve">του ν. </w:t>
        </w:r>
        <w:r>
          <w:rPr>
            <w:rStyle w:val="Hyperlink"/>
            <w:b/>
            <w:bCs/>
            <w:color w:val="0000EE"/>
            <w:u w:color="0000EE"/>
            <w:lang w:val="el" w:eastAsia="el"/>
          </w:rPr>
          <w:t>1599/1986</w:t>
        </w:r>
      </w:hyperlink>
      <w:r>
        <w:rPr>
          <w:b/>
          <w:bCs/>
          <w:lang w:val="el" w:eastAsia="el"/>
        </w:rPr>
        <w:t>του υπόχρεου για την υποβολή του παραστατικού προσώπου, σχετικά με τον αριθμό των διανυθέντων χιλιομέτρων.</w:t>
      </w:r>
    </w:p>
    <w:p>
      <w:pPr>
        <w:spacing w:before="240" w:after="240"/>
        <w:rPr>
          <w:lang w:val="el" w:eastAsia="el"/>
        </w:rPr>
      </w:pPr>
      <w:r>
        <w:rPr>
          <w:b/>
          <w:bCs/>
          <w:lang w:val="el" w:eastAsia="el"/>
        </w:rPr>
        <w:t xml:space="preserve">2. </w:t>
      </w:r>
      <w:r>
        <w:rPr>
          <w:b/>
          <w:bCs/>
          <w:lang w:val="el" w:eastAsia="el"/>
        </w:rPr>
        <w:t>α. Η Δήλωση Εξοπλισμού και Αξίας/Δήλωση Εξοπλισμού η οποία συντάσσεται από τον υπόχρεο για την καταβολή του τέλους ταξινόμησης και για την υποβολή στην αρμόδια τελωνειακή αρχή του παραστατικού θέσης σε ανάλωση με τη μορφή δήλωσης, διαλαμβάνει όλα τα χαρακτηριστικά στοιχεία του οχήματος, συμπεριλαμβανομένου του βασικού και προαιρετικού (EXTRA) εξοπλισμού, κατά περίπτωση, καθώς και κάθε αναγκαίο στοιχείο, για τη διαμόρφωση της φορολογητέας αξίας.</w:t>
      </w:r>
    </w:p>
    <w:p>
      <w:pPr>
        <w:spacing w:before="240" w:after="240"/>
        <w:rPr>
          <w:lang w:val="el" w:eastAsia="el"/>
        </w:rPr>
      </w:pPr>
      <w:r>
        <w:rPr>
          <w:b/>
          <w:bCs/>
          <w:lang w:val="el" w:eastAsia="el"/>
        </w:rPr>
        <w:t>β. Η επαλήθευση των στοιχείων της Δήλωσης Εξοπλισμού και Αξίας και της Δήλωσης Εξοπλισμού διενεργείται με βάση τα συνυποβαλλόμενα, στο παραστατικό θέσης σε ανάλωση, δικαιολογητικά έγγραφα και τα στοιχεία που προκύπτουν από τον φυσικό έλεγχο, όπου αυτός απαιτείται, σύμφωνα και με τα οριζόμενα στην παρ. 3 του άρθρου 12.</w:t>
      </w:r>
    </w:p>
    <w:p>
      <w:pPr>
        <w:spacing w:before="240" w:after="240"/>
        <w:rPr>
          <w:lang w:val="el" w:eastAsia="el"/>
        </w:rPr>
      </w:pPr>
      <w:r>
        <w:rPr>
          <w:b/>
          <w:bCs/>
          <w:lang w:val="el" w:eastAsia="el"/>
        </w:rPr>
        <w:t>γ. Σε περιπτώσεις αδυναμίας υποβολής από τον υπόχρεο καταβολής του τέλους ταξινόμησης της βεβαίωσης εξοπλισμού της περ. ε. της παρ. 1, καθώς και στις περιπτώσεις του άρθρου 9, συνυποβάλλεται από τον υπόχρεο, με το παραστατικό θέσης σε ανάλωση ενός οχήματος, κάρτα εξοπλισμού με βάση τον αριθμό πλαισίου του οχήματος, από οδηγούς/βάσεις δεδομένων εξοπλισμού οχημάτων, προκειμένου για την επαλήθευση των δηλωθέντων στοιχείων, της Δήλωσης Εξοπλισμού και Αξίας ή Δήλωσης Εξοπλισμού, κατά περίπτωση.</w:t>
      </w:r>
    </w:p>
    <w:p>
      <w:pPr>
        <w:spacing w:before="240" w:after="240"/>
        <w:rPr>
          <w:lang w:val="el" w:eastAsia="el"/>
        </w:rPr>
      </w:pPr>
      <w:r>
        <w:rPr>
          <w:b/>
          <w:bCs/>
          <w:lang w:val="el" w:eastAsia="el"/>
        </w:rPr>
        <w:t>Οι αρμόδιες για την βεβαίωση του τέλους ταξινόμησης τελωνειακές αρχές, στις οποίες έχει υποβληθεί το παραστατικό θέσης σε ανάλωση του οχήματος, δύναται να προβαίνουν σε έλεγχο των στοιχείων της ηλεκτρονικά υποβληθείσας κάρτας εξοπλισμού, για την επαλήθευση των δηλωθέντων στοιχείων της Δήλωσης Εξοπλισμού και Αξίας/Δήλωσης Εξοπλισμού από οδηγούς/βάσεις δεδομένων για τον εξοπλισμό του οχήματος μέσω του αριθμού πλαισίου, στους οποίους αποκτούν πρόσβαση.</w:t>
      </w:r>
    </w:p>
    <w:p>
      <w:pPr>
        <w:spacing w:before="240" w:after="240"/>
        <w:rPr>
          <w:lang w:val="el" w:eastAsia="el"/>
        </w:rPr>
      </w:pPr>
      <w:r>
        <w:rPr>
          <w:b/>
          <w:bCs/>
          <w:lang w:val="el" w:eastAsia="el"/>
        </w:rPr>
        <w:t>Επιπλέον στις ανωτέρω περιπτώσεις που δεν είναι δυνατή η χορήγηση της βεβαίωσης εξοπλισμού της περ. ε. της παρ. 1, ο υπόχρεος για την καταβολή του τέλους ταξινόμησης οφείλει να συνυποβάλει με το παραστατικό θέσης σε ανάλωσης, κατά περίπτωση τα ακόλουθα, τα οποία δύνανται να επαληθευτούν, κατά τον έλεγχο εγγράφων, κατόπιν αξιολόγησης από την αρμόδια τελωνειακή αρχή ελέγχου:</w:t>
      </w:r>
    </w:p>
    <w:p>
      <w:pPr>
        <w:spacing w:before="240" w:after="240"/>
        <w:rPr>
          <w:lang w:val="el" w:eastAsia="el"/>
        </w:rPr>
      </w:pPr>
      <w:r>
        <w:rPr>
          <w:b/>
          <w:bCs/>
          <w:lang w:val="el" w:eastAsia="el"/>
        </w:rPr>
        <w:t xml:space="preserve">1) </w:t>
      </w:r>
      <w:r>
        <w:rPr>
          <w:b/>
          <w:bCs/>
          <w:lang w:val="el" w:eastAsia="el"/>
        </w:rPr>
        <w:t>την αίτηση που έχει αποσταλεί προς τους εισαγωγείς/επίσημους αντιπρόσωπους/διανομείς για τη χορήγηση της βεβαίωσης του πρόσθετου/προαιρετικού εξοπλισμού, η οποία θα πρέπει να φέρει ημερομηνία υποβολής τουλάχιστον δεκαπέντε (15) ημερολογιακές ημέρες πριν την ημερομηνία υποβολής του παραστατικού θέσης σε ανάλωση ή</w:t>
      </w:r>
    </w:p>
    <w:p>
      <w:pPr>
        <w:spacing w:before="240" w:after="240"/>
        <w:rPr>
          <w:lang w:val="el" w:eastAsia="el"/>
        </w:rPr>
      </w:pPr>
      <w:r>
        <w:rPr>
          <w:b/>
          <w:bCs/>
          <w:lang w:val="el" w:eastAsia="el"/>
        </w:rPr>
        <w:t xml:space="preserve">2) </w:t>
      </w:r>
      <w:r>
        <w:rPr>
          <w:b/>
          <w:bCs/>
          <w:lang w:val="el" w:eastAsia="el"/>
        </w:rPr>
        <w:t>την αρνητική απάντηση του εισαγωγέα/επίσημου αντιπρόσωπου/διανομέα, από την οποία προκύπτει η αδυναμία έκδοσης της σχετικής βεβαίωσης πρόσθετου/προαιρετικού εξοπλισμού του οχήματος.</w:t>
      </w:r>
    </w:p>
    <w:p>
      <w:pPr>
        <w:spacing w:before="240" w:after="240"/>
        <w:rPr>
          <w:lang w:val="el" w:eastAsia="el"/>
        </w:rPr>
      </w:pPr>
      <w:r>
        <w:rPr>
          <w:b/>
          <w:bCs/>
          <w:lang w:val="el" w:eastAsia="el"/>
        </w:rPr>
        <w:t>Τα οριζόμενα στο προηγούμενο εδάφιο ισχύουν και στην περίπτωση της παρ. 2 του άρθρου 6 της υπό στοιχεία A.1051/6-2-2019 απόφασης του Διοικητή της Α.Α.Δ.Ε. (Β΄434), κατά την οποία η Ειδική Δήλωση για τη βεβαίωση και είσπραξη του τέλους ταξινόμησης υποβάλλεται την ίδια ημέρα, με την άφιξη του οχήματος στον δηλωθέντα τόπο προορισμού ή το αργότερο την επόμενη εργάσιμη ημέρα.</w:t>
      </w:r>
    </w:p>
    <w:p>
      <w:pPr>
        <w:spacing w:before="240" w:after="240"/>
        <w:rPr>
          <w:lang w:val="el" w:eastAsia="el"/>
        </w:rPr>
      </w:pPr>
      <w:r>
        <w:rPr>
          <w:b/>
          <w:bCs/>
          <w:lang w:val="el" w:eastAsia="el"/>
        </w:rPr>
        <w:t>δ. Εφόσον μετά από σχετική αλληλογραφία με την αρμόδια Δ/νση ΕΦΚ και ΦΠΑ της Γενικής Δ/ νσης Τελωνείων, έχει δηλωθεί από ορισμένους εισαγωγείς/αντιπροσώπους/διανομείς, πάγια αδυναμία έκδοσης της βεβαίωσης εξοπλισμού, σύμφωνα με τα οριζόμενα στην περ. ε της παρ. 1, η οποία γνωστοποιείται στις αρμόδιες για τη βεβαίωση του τέλους ταξινόμησης τελωνειακές αρχές, λαμβάνεται υπόψη η συνυποβαλλόμενη από τον συναλλασσόμενο κάρτα εξοπλισμού.».</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Στο άρθρο 6 οι υποπερ. ββ και γγ. της περ. γ της παρ. 1, η παρ. 2 και η παρ. 4 τροποποιούνται και οι παρ. 1, 2 και 4 του άρθρου 6 διαμορφώνονται, ως εξής:</w:t>
      </w:r>
    </w:p>
    <w:p>
      <w:pPr>
        <w:spacing w:before="240" w:after="240"/>
        <w:rPr>
          <w:lang w:val="el" w:eastAsia="el"/>
        </w:rPr>
      </w:pPr>
      <w:r>
        <w:rPr>
          <w:b/>
          <w:bCs/>
          <w:lang w:val="el" w:eastAsia="el"/>
        </w:rPr>
        <w:t>«1. Για τον προσδιορισμό της φορολογητέας αξίας για την επιβολή του τέλους ταξινόμησης στα καινούργια επιβατικά αυτοκίνητα για τα οποία έχει κατατεθεί και δημοσιευθεί τιμοκατάλογος, ακολουθείται η κατωτέρω διαδικασία:</w:t>
      </w:r>
    </w:p>
    <w:p>
      <w:pPr>
        <w:spacing w:before="240" w:after="240"/>
        <w:rPr>
          <w:lang w:val="el" w:eastAsia="el"/>
        </w:rPr>
      </w:pPr>
      <w:r>
        <w:rPr>
          <w:b/>
          <w:bCs/>
          <w:lang w:val="el" w:eastAsia="el"/>
        </w:rPr>
        <w:t>α. Ο υπόχρεος για την υποβολή του παραστατικού θέσης σε ανάλωση, συμπληρώνει στη Δήλωση Εξοπλισμού και Αξίας, σύμφωνα με το Υπόδειγμα του Παραρτήματος Ι τη βασική λιανική τιμή πώλησης του αυτοκινήτου, κατά μάρκα, παραλλαγή και έκδοση, όπως αυτή αναγράφεται στον τιμοκατάλογο.</w:t>
      </w:r>
    </w:p>
    <w:p>
      <w:pPr>
        <w:spacing w:before="240" w:after="240"/>
        <w:rPr>
          <w:lang w:val="el" w:eastAsia="el"/>
        </w:rPr>
      </w:pPr>
      <w:r>
        <w:rPr>
          <w:b/>
          <w:bCs/>
          <w:lang w:val="el" w:eastAsia="el"/>
        </w:rPr>
        <w:t>Στις περιπτώσεις κατά τις οποίες υφίσταται δυσχέρεια αντιστοίχισης των επιβατικών αυτοκινήτων κατά μάρκα, παραλλαγή και έκδοση από τους δημοσιευμένους τιμοκαταλόγους, η αντιστοίχιση αυτή δύναται να προκύπτει από τα λοιπά συνυποβαλλόμενα στο παραστατικό θέσης σε ανάλωση του οχήματος έγγραφα του άρθρου 5, ήτοι της έγκρισης τύπου και του πιστοποιητικού συμμόρφωσης της περ. δ της παρ.1 ή της βεβαίωσης εξοπλισμού της περ. ε της παρ.1 ή στις περιπτώσεις που δεν είναι δυνατή η χορήγηση της βεβαίωσης εξοπλισμού, της κάρτας εξοπλισμού της περ. γ της παρ.2 αυτού.</w:t>
      </w:r>
    </w:p>
    <w:p>
      <w:pPr>
        <w:spacing w:before="240" w:after="240"/>
        <w:rPr>
          <w:lang w:val="el" w:eastAsia="el"/>
        </w:rPr>
      </w:pPr>
      <w:r>
        <w:rPr>
          <w:b/>
          <w:bCs/>
          <w:lang w:val="el" w:eastAsia="el"/>
        </w:rPr>
        <w:t>Εφόσον, το αυτοκίνητο φέρει πρόσθετο (προαιρετικό/EXTRA) εξοπλισμό, στη Δήλωση Εξοπλισμού και Αξίας συμπληρώνεται κατά κωδικό είδους ή κωδικό συνδυασμού ειδών, η περιγραφή και η αξία αυτού.</w:t>
      </w:r>
    </w:p>
    <w:p>
      <w:pPr>
        <w:spacing w:before="240" w:after="240"/>
        <w:rPr>
          <w:lang w:val="el" w:eastAsia="el"/>
        </w:rPr>
      </w:pPr>
      <w:r>
        <w:rPr>
          <w:b/>
          <w:bCs/>
          <w:lang w:val="el" w:eastAsia="el"/>
        </w:rPr>
        <w:t>β. Η Δήλωση Εξοπλισμού και Αξίας του Παραρτήματος Ι, συνυποβάλλεται με το παραστατικό θέσης σε ανάλωση του αυτοκινήτου στο οποίο δηλώνεται το σύνολο της φορολογητέας αξίας (βασική τιμή λιανικής πώλησης και αξία τυχόν πρόσθετου εξοπλισμού).</w:t>
      </w:r>
    </w:p>
    <w:p>
      <w:pPr>
        <w:spacing w:before="240" w:after="240"/>
        <w:rPr>
          <w:lang w:val="el" w:eastAsia="el"/>
        </w:rPr>
      </w:pPr>
      <w:r>
        <w:rPr>
          <w:b/>
          <w:bCs/>
          <w:lang w:val="el" w:eastAsia="el"/>
        </w:rPr>
        <w:t>γ. Τα δικαιολογητικά που απαιτούνται κατά την υποβολή του παραστατικού θέσης σε ανάλωση, πέραν της Δήλωσης Εξοπλισμού και Αξίας είναι:</w:t>
      </w:r>
    </w:p>
    <w:p>
      <w:pPr>
        <w:spacing w:before="240" w:after="240"/>
        <w:rPr>
          <w:lang w:val="el" w:eastAsia="el"/>
        </w:rPr>
      </w:pPr>
      <w:r>
        <w:rPr>
          <w:b/>
          <w:bCs/>
          <w:lang w:val="el" w:eastAsia="el"/>
        </w:rPr>
        <w:t>αα. Τιμολόγιο αγοράς για αυτοκίνητα που εισάγονται από τρίτες χώρες, ή αποκτώνται από άλλο κράτος μέλος της ΕΕ.</w:t>
      </w:r>
    </w:p>
    <w:p>
      <w:pPr>
        <w:spacing w:before="240" w:after="240"/>
        <w:rPr>
          <w:lang w:val="el" w:eastAsia="el"/>
        </w:rPr>
      </w:pPr>
      <w:r>
        <w:rPr>
          <w:b/>
          <w:bCs/>
          <w:lang w:val="el" w:eastAsia="el"/>
        </w:rPr>
        <w:t>ββ. Βεβαίωση εξοπλισμού με αναφορά στον αριθμό πλαισίου του οχήματος, στην οποία επισημαίνεται διακριτά ο πρόσθετος/προαιρετικός εξοπλισμός.</w:t>
      </w:r>
    </w:p>
    <w:p>
      <w:pPr>
        <w:spacing w:before="240" w:after="240"/>
        <w:rPr>
          <w:lang w:val="el" w:eastAsia="el"/>
        </w:rPr>
      </w:pPr>
      <w:r>
        <w:rPr>
          <w:b/>
          <w:bCs/>
          <w:lang w:val="el" w:eastAsia="el"/>
        </w:rPr>
        <w:t>γγ. Αντίγραφα του πιστοποιητικού συμμόρφωσης και της έγκρισης τύπου, ή του δελτίου κοινοποίησης έγκρισης τύπου, ή των πιστοποιητικών, ή βεβαιώσεων διαπίστωσης των εκπομπών διοξειδίου του άνθρακα και του προτύπου εκπομπών ρύπων, κατά περίπτωση.».</w:t>
      </w:r>
    </w:p>
    <w:p>
      <w:pPr>
        <w:spacing w:before="240" w:after="240"/>
        <w:rPr>
          <w:lang w:val="el" w:eastAsia="el"/>
        </w:rPr>
      </w:pPr>
      <w:r>
        <w:rPr>
          <w:b/>
          <w:bCs/>
          <w:lang w:val="el" w:eastAsia="el"/>
        </w:rPr>
        <w:t>«2. Για τον προσδιορισμό της φορολογητέας αξίας για την επιβολή του τέλους ταξινόμησης στα μεταχειρισμένα επιβατικά αυτοκίνητα για τα οποία έχει κατατεθεί και δημοσιευθεί τιμοκατάλογος από αντιπροσώπους/ επίσημους διανομείς/παραγωγούς, ακολουθείται η διαδικασία της παραπάνω παρ. 1.</w:t>
      </w:r>
    </w:p>
    <w:p>
      <w:pPr>
        <w:spacing w:before="240" w:after="240"/>
        <w:rPr>
          <w:lang w:val="el" w:eastAsia="el"/>
        </w:rPr>
      </w:pPr>
      <w:r>
        <w:rPr>
          <w:b/>
          <w:bCs/>
          <w:lang w:val="el" w:eastAsia="el"/>
        </w:rPr>
        <w:t>Συγκεκριμένα, το υπόχρεο πρόσωπο για την υποβολή του παραστατικού θέσης σε ανάλωση του αυτοκινήτου, προβαίνει στη συμπλήρωση της Δήλωσης Εξοπλισμού και Αξίας ως ανωτέρω και του συνόλου της φορολογητέας αξίας στο παραστατικό, συνυποβάλλοντας με αυτό, τα δικαιολογητικά των περιπτώσεων α', ß', δ', ε', στ' και ζ΄της παραγράφου 1 του άρθρου 5 της παρούσας.</w:t>
      </w:r>
    </w:p>
    <w:p>
      <w:pPr>
        <w:spacing w:before="240" w:after="240"/>
        <w:rPr>
          <w:lang w:val="el" w:eastAsia="el"/>
        </w:rPr>
      </w:pPr>
      <w:r>
        <w:rPr>
          <w:b/>
          <w:bCs/>
          <w:lang w:val="el" w:eastAsia="el"/>
        </w:rPr>
        <w:t>Στις περιπτώσεις κατά τις οποίες υφίσταται δυσχέρεια αντιστοίχισης των επιβατικών αυτοκινήτων κατά μάρκα, παραλλαγή και έκδοση από τους δημοσιευμένους τιμοκαταλόγους, η αντιστοίχιση αυτή δύναται να προκύπτει από τα λοιπά συνυποβαλλόμενα στο παραστατικό θέσης σε ανάλωση του οχήματος έγγραφα, ήτοι:</w:t>
      </w:r>
    </w:p>
    <w:p>
      <w:pPr>
        <w:spacing w:before="240" w:after="240"/>
        <w:rPr>
          <w:lang w:val="el" w:eastAsia="el"/>
        </w:rPr>
      </w:pPr>
      <w:r>
        <w:rPr>
          <w:b/>
          <w:bCs/>
          <w:lang w:val="el" w:eastAsia="el"/>
        </w:rPr>
        <w:t>α) της άδειας κυκλοφορίας,</w:t>
      </w:r>
    </w:p>
    <w:p>
      <w:pPr>
        <w:spacing w:before="240" w:after="240"/>
        <w:rPr>
          <w:lang w:val="el" w:eastAsia="el"/>
        </w:rPr>
      </w:pPr>
      <w:r>
        <w:rPr>
          <w:b/>
          <w:bCs/>
          <w:lang w:val="el" w:eastAsia="el"/>
        </w:rPr>
        <w:t>β) της έγκρισης τύπου και του πιστοποιητικού συμμόρφωσης της περ. δ της παρ. 1 του άρθρου 5 ή</w:t>
      </w:r>
    </w:p>
    <w:p>
      <w:pPr>
        <w:spacing w:before="240" w:after="240"/>
        <w:rPr>
          <w:lang w:val="el" w:eastAsia="el"/>
        </w:rPr>
      </w:pPr>
      <w:r>
        <w:rPr>
          <w:b/>
          <w:bCs/>
          <w:lang w:val="el" w:eastAsia="el"/>
        </w:rPr>
        <w:t>γ) της βεβαίωσης εξοπλισμού της περ. ε της παρ.1 του άρθρου 5 και στις περιπτώσεις που δεν είναι δυνατή η χορήγηση της βεβαίωσης αυτής, της κάρτας εξοπλισμού της περ. γ της παρ.2 του άρθρου 5 (parts link ή data card), υπό τον όρο ότι αντιστοιχίζονται σωρευτικά τα κάτωθι χαρακτηριστικά του οχήματος: έτος κυκλοφορίας, μάρκα, μοντέλο, κυβικά, ιπποδύναμη και εκπομπές ρύπων. Στις περιπτώσεις όπου στους δημοσιευθέντες τιμοκαταλόγους υπάρχουν παραπάνω από μία εκδόσεις με τα ίδια χαρακτηριστικά οχήματος (έτος κυκλοφορίας, μάρκα, μοντέλο, κυβικά, ιπποδύναμη, εκπομπές ρύπων), η κάρτα εξοπλισμού δύναται να χρησιμοποιηθεί μόνο όταν από τα στοιχεία που περιέχει γίνεται ακριβής αντιστοίχιση του οχήματος σε μία και μόνο έκδοση.</w:t>
      </w:r>
    </w:p>
    <w:p>
      <w:pPr>
        <w:spacing w:before="240" w:after="240"/>
        <w:rPr>
          <w:lang w:val="el" w:eastAsia="el"/>
        </w:rPr>
      </w:pPr>
      <w:r>
        <w:rPr>
          <w:b/>
          <w:bCs/>
          <w:lang w:val="el" w:eastAsia="el"/>
        </w:rPr>
        <w:t>«4. Οι αρμόδιες, κατά περίπτωση, Τελωνειακές Περιφέρειες ανακτούν, μέσω του Πληροφορικού Συστήματος Τελωνείων ICISnet, το παραστατικό θέσης του οχήματος σε ανάλωση και τα συνυποβαλλόμενα δικαιολογητικά έγγραφα και αφού πρώτα προβούν στον προσδιορισμό/καθορισμό της φορολογητέας αξίας, σύμφωνα με την παρ. 1 του άρθρου</w:t>
      </w:r>
      <w:hyperlink r:id="rId5" w:history="1">
        <w:r>
          <w:rPr>
            <w:rStyle w:val="Hyperlink"/>
            <w:b/>
            <w:bCs/>
            <w:color w:val="0000EE"/>
            <w:u w:color="0000EE"/>
            <w:lang w:val="el" w:eastAsia="el"/>
          </w:rPr>
          <w:t>126</w:t>
        </w:r>
      </w:hyperlink>
      <w:hyperlink r:id="rId6" w:history="1">
        <w:r>
          <w:rPr>
            <w:rStyle w:val="Hyperlink"/>
            <w:b/>
            <w:bCs/>
            <w:color w:val="0000EE"/>
            <w:u w:color="0000EE"/>
            <w:lang w:val="el" w:eastAsia="el"/>
          </w:rPr>
          <w:t xml:space="preserve">του ν. </w:t>
        </w:r>
        <w:r>
          <w:rPr>
            <w:rStyle w:val="Hyperlink"/>
            <w:b/>
            <w:bCs/>
            <w:color w:val="0000EE"/>
            <w:u w:color="0000EE"/>
            <w:lang w:val="el" w:eastAsia="el"/>
          </w:rPr>
          <w:t>2960/2001</w:t>
        </w:r>
      </w:hyperlink>
      <w:r>
        <w:rPr>
          <w:b/>
          <w:bCs/>
          <w:u w:val="single"/>
          <w:lang w:val="el" w:eastAsia="el"/>
        </w:rPr>
        <w:t>, καταχωρίζουν τη φορολογητέα αξία στο σχετικό πεδίο επί του παραστατικού θέσης σε ανάλωση.</w:t>
      </w:r>
    </w:p>
    <w:p>
      <w:pPr>
        <w:spacing w:before="240" w:after="240"/>
        <w:rPr>
          <w:lang w:val="el" w:eastAsia="el"/>
        </w:rPr>
      </w:pPr>
      <w:r>
        <w:rPr>
          <w:b/>
          <w:bCs/>
          <w:u w:val="single"/>
          <w:lang w:val="el" w:eastAsia="el"/>
        </w:rPr>
        <w:t>Η αρμόδια τελωνειακή αρχή βεβαίωσης του τέλους ταξινόμησης προβαίνει στην κατά περίπτωση διαμόρφωση της τελικής φορολογητέας αξίας για την επιβολή του τέλους ταξινόμησης, σύμφωνα με τα ειδικότερα οριζόμενα στην περ. β της παρ. 2 του άρθρου 1.».</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Στο άρθρο 8 αντικαθίστανται οι παρ. 2, 3 και 4 ως ακολούθως:</w:t>
      </w:r>
    </w:p>
    <w:p>
      <w:pPr>
        <w:spacing w:before="240" w:after="240"/>
        <w:rPr>
          <w:lang w:val="el" w:eastAsia="el"/>
        </w:rPr>
      </w:pPr>
      <w:r>
        <w:rPr>
          <w:b/>
          <w:bCs/>
          <w:u w:val="single"/>
          <w:lang w:val="el" w:eastAsia="el"/>
        </w:rPr>
        <w:t>«2. Φορτηγά μικτού βάρους μέχρι και 3,5 τόνους</w:t>
      </w:r>
    </w:p>
    <w:p>
      <w:pPr>
        <w:spacing w:before="240" w:after="240"/>
        <w:rPr>
          <w:lang w:val="el" w:eastAsia="el"/>
        </w:rPr>
      </w:pPr>
      <w:r>
        <w:rPr>
          <w:b/>
          <w:bCs/>
          <w:u w:val="single"/>
          <w:lang w:val="el" w:eastAsia="el"/>
        </w:rPr>
        <w:t>α. Για καινούργια φορτηγά αυτοκίνητα της Δ.Κ. 87.04 και τις βάσεις αυτών, μικτού βάρους μέχρι και 3,5 τόνους, καθώς και οχήματα των περ. ε) και η) της παρ. 1 του άρθρου</w:t>
      </w:r>
      <w:hyperlink r:id="rId7" w:history="1">
        <w:r>
          <w:rPr>
            <w:rStyle w:val="Hyperlink"/>
            <w:b/>
            <w:bCs/>
            <w:color w:val="0000EE"/>
            <w:u w:color="0000EE"/>
            <w:lang w:val="el" w:eastAsia="el"/>
          </w:rPr>
          <w:t xml:space="preserve">123 </w:t>
        </w:r>
      </w:hyperlink>
      <w:hyperlink r:id="rId8" w:history="1">
        <w:r>
          <w:rPr>
            <w:rStyle w:val="Hyperlink"/>
            <w:b/>
            <w:bCs/>
            <w:color w:val="0000EE"/>
            <w:u w:color="0000EE"/>
            <w:lang w:val="el" w:eastAsia="el"/>
          </w:rPr>
          <w:t>του ν.</w:t>
        </w:r>
      </w:hyperlink>
      <w:hyperlink r:id="rId9" w:history="1">
        <w:r>
          <w:rPr>
            <w:rStyle w:val="Hyperlink"/>
            <w:b/>
            <w:bCs/>
            <w:color w:val="0000EE"/>
            <w:u w:color="0000EE"/>
            <w:lang w:val="el" w:eastAsia="el"/>
          </w:rPr>
          <w:t>2960/2001</w:t>
        </w:r>
        <w:r>
          <w:rPr>
            <w:rStyle w:val="Hyperlink"/>
            <w:b/>
            <w:bCs/>
            <w:color w:val="0000EE"/>
            <w:u w:color="0000EE"/>
            <w:lang w:val="el" w:eastAsia="el"/>
          </w:rPr>
          <w:t>,</w:t>
        </w:r>
      </w:hyperlink>
      <w:r>
        <w:rPr>
          <w:b/>
          <w:bCs/>
          <w:u w:val="single"/>
          <w:lang w:val="el" w:eastAsia="el"/>
        </w:rPr>
        <w:t xml:space="preserve"> για τα οποία έχει κατατεθεί και δημοσιευθεί τιμοκατάλογος, εφαρμόζονται τα οριζόμενα στις παρ. 1 και 4 του άρθρου 6..</w:t>
      </w:r>
    </w:p>
    <w:p>
      <w:pPr>
        <w:spacing w:before="240" w:after="240"/>
        <w:rPr>
          <w:lang w:val="el" w:eastAsia="el"/>
        </w:rPr>
      </w:pPr>
      <w:r>
        <w:rPr>
          <w:b/>
          <w:bCs/>
          <w:u w:val="single"/>
          <w:lang w:val="el" w:eastAsia="el"/>
        </w:rPr>
        <w:t>β. Για καινούργια φορτηγά αυτοκίνητα της Δ.Κ. 87.04 και τις βάσεις αυτών, μικτού βάρους μέχρι και 3,5 τόνους, καθώς και οχήματα των περιπτώσεων ε) και η) της παρ. 1 του άρθρου</w:t>
      </w:r>
      <w:hyperlink r:id="rId10" w:history="1">
        <w:r>
          <w:rPr>
            <w:rStyle w:val="Hyperlink"/>
            <w:b/>
            <w:bCs/>
            <w:color w:val="0000EE"/>
            <w:u w:color="0000EE"/>
            <w:lang w:val="el" w:eastAsia="el"/>
          </w:rPr>
          <w:t xml:space="preserve">123 </w:t>
        </w:r>
      </w:hyperlink>
      <w:hyperlink r:id="rId11" w:history="1">
        <w:r>
          <w:rPr>
            <w:rStyle w:val="Hyperlink"/>
            <w:b/>
            <w:bCs/>
            <w:color w:val="0000EE"/>
            <w:u w:color="0000EE"/>
            <w:lang w:val="el" w:eastAsia="el"/>
          </w:rPr>
          <w:t xml:space="preserve">του ν. </w:t>
        </w:r>
        <w:r>
          <w:rPr>
            <w:rStyle w:val="Hyperlink"/>
            <w:b/>
            <w:bCs/>
            <w:color w:val="0000EE"/>
            <w:u w:color="0000EE"/>
            <w:lang w:val="el" w:eastAsia="el"/>
          </w:rPr>
          <w:t>2960/2001</w:t>
        </w:r>
      </w:hyperlink>
      <w:r>
        <w:rPr>
          <w:b/>
          <w:bCs/>
          <w:u w:val="single"/>
          <w:lang w:val="el" w:eastAsia="el"/>
        </w:rPr>
        <w:t>που εισάγονται ή μεταφέρονται μεμονωμένα, για τα οποία δεν έχει υποβληθεί και δημοσιευθεί τιμοκατάλογος ή δεν συμπεριλαμβάνονται κατά μάρκα, παραλλαγή και έκδοση στους υποβληθέντες και δημοσιευθέντες καταλόγους, καθώς και για όμοια μεταχειρισμένα αυτοκίνητα, ισχύουν τα ακόλουθα:</w:t>
      </w:r>
    </w:p>
    <w:p>
      <w:pPr>
        <w:spacing w:before="240" w:after="240"/>
        <w:rPr>
          <w:lang w:val="el" w:eastAsia="el"/>
        </w:rPr>
      </w:pPr>
      <w:r>
        <w:rPr>
          <w:b/>
          <w:bCs/>
          <w:u w:val="single"/>
          <w:lang w:val="el" w:eastAsia="el"/>
        </w:rPr>
        <w:t>Ο υπόχρεος για την καταβολή του τέλους ταξινόμησης και την υποβολή του παραστατικού θέσης σε ανάλωση, αφού συμπληρώσει τη Δήλωση Εξοπλισμού του Παραρτήματος ΙΙ, με τα στοιχεία του οχήματος και τον εξοπλισμό που αυτό διαθέτει, χωρίς δηλωθείσα αξία, υποβάλλει στην αρμόδια τελωνειακή αρχή το παραστατικό θέσης σε ανάλωση με την ως άνω Δήλωση Εξοπλισμού και τα συνημμένα, κατά περίπτωση, δικαιολογητικά έγγραφα.</w:t>
      </w:r>
    </w:p>
    <w:p>
      <w:pPr>
        <w:spacing w:before="240" w:after="240"/>
        <w:rPr>
          <w:lang w:val="el" w:eastAsia="el"/>
        </w:rPr>
      </w:pPr>
      <w:r>
        <w:rPr>
          <w:b/>
          <w:bCs/>
          <w:u w:val="single"/>
          <w:lang w:val="el" w:eastAsia="el"/>
        </w:rPr>
        <w:t>Η αρμόδια κατά περίπτωση Τελωνειακή Περιφέρεια ανακτά μέσω του Πληροφορικού Συστήματος Τελωνείων-ICISnet, το παραστατικό θέσης σε ανάλωση και τα συνυποβαλλόμενα δικαιολογητικά και αφού καθορίσει τη φορολογητέα αξία, σύμφωνα με τα οριζόμενα στο άρθρο 9, καταχωρίζει τη φορολογητέα αξία στο σχετικό πεδίο επί του παραστατικού θέσης σε ανάλωση, αναγράφοντας στο πεδίο «Παρατηρήσεις» του ιδίου παραστατικού το κατά περίπτωση συγκεκριμένο στοιχείο (α΄ - ζ΄) του ανωτέρω άρθρου που τελικά εφαρμόστηκε προκειμένου να καθοριστεί η αξία, καθώς και τον αιτιολογημένο λόγο για την επιλογή αυτού.</w:t>
      </w:r>
    </w:p>
    <w:p>
      <w:pPr>
        <w:spacing w:before="240" w:after="240"/>
        <w:rPr>
          <w:lang w:val="el" w:eastAsia="el"/>
        </w:rPr>
      </w:pPr>
      <w:r>
        <w:rPr>
          <w:b/>
          <w:bCs/>
          <w:u w:val="single"/>
          <w:lang w:val="el" w:eastAsia="el"/>
        </w:rPr>
        <w:t>Η αρμόδια τελωνειακή αρχή βεβαίωσης του τέλους ταξινόμησης προβαίνει στην κατά περίπτωση διαμόρφωση της τελικής φορολογητέας αξίας για την επιβολή του τέλους ταξινόμησης, σύμφωνα με τα ειδικότερα οριζόμενα στην περ. β της παρ. 2 του άρθρου 1.</w:t>
      </w:r>
    </w:p>
    <w:p>
      <w:pPr>
        <w:spacing w:before="240" w:after="240"/>
        <w:rPr>
          <w:lang w:val="el" w:eastAsia="el"/>
        </w:rPr>
      </w:pPr>
      <w:r>
        <w:rPr>
          <w:b/>
          <w:bCs/>
          <w:u w:val="single"/>
          <w:lang w:val="el" w:eastAsia="el"/>
        </w:rPr>
        <w:t>γ. Ειδικά για τα μεταχειρισμένα φορτηγά αυτοκίνητα μικτού βάρους μέχρι 3,5 τόνους, οι αρμόδιες Τελωνειακές Περιφέρειες, προβαίνουν στην απομείωση της αξίας, κατ' εφαρμογή των οριζόμενων στην παρ. 3 του άρθρου</w:t>
      </w:r>
      <w:hyperlink r:id="rId12" w:history="1">
        <w:r>
          <w:rPr>
            <w:rStyle w:val="Hyperlink"/>
            <w:b/>
            <w:bCs/>
            <w:color w:val="0000EE"/>
            <w:u w:color="0000EE"/>
            <w:lang w:val="el" w:eastAsia="el"/>
          </w:rPr>
          <w:t xml:space="preserve">123 </w:t>
        </w:r>
      </w:hyperlink>
      <w:hyperlink r:id="rId13" w:history="1">
        <w:r>
          <w:rPr>
            <w:rStyle w:val="Hyperlink"/>
            <w:b/>
            <w:bCs/>
            <w:color w:val="0000EE"/>
            <w:u w:color="0000EE"/>
            <w:lang w:val="el" w:eastAsia="el"/>
          </w:rPr>
          <w:t xml:space="preserve">του ν. </w:t>
        </w:r>
        <w:r>
          <w:rPr>
            <w:rStyle w:val="Hyperlink"/>
            <w:b/>
            <w:bCs/>
            <w:color w:val="0000EE"/>
            <w:u w:color="0000EE"/>
            <w:lang w:val="el" w:eastAsia="el"/>
          </w:rPr>
          <w:t>2960/2001</w:t>
        </w:r>
        <w:r>
          <w:rPr>
            <w:rStyle w:val="Hyperlink"/>
            <w:b/>
            <w:bCs/>
            <w:color w:val="0000EE"/>
            <w:u w:color="0000EE"/>
            <w:lang w:val="el" w:eastAsia="el"/>
          </w:rPr>
          <w:t>,</w:t>
        </w:r>
      </w:hyperlink>
      <w:r>
        <w:rPr>
          <w:b/>
          <w:bCs/>
          <w:u w:val="single"/>
          <w:lang w:val="el" w:eastAsia="el"/>
        </w:rPr>
        <w:t xml:space="preserve"> με βάση τα στοιχεία που διαθέτουν και καθορίζουν την τελική φορολογητέα αξία.</w:t>
      </w:r>
    </w:p>
    <w:p>
      <w:pPr>
        <w:spacing w:before="240" w:after="240"/>
        <w:rPr>
          <w:lang w:val="el" w:eastAsia="el"/>
        </w:rPr>
      </w:pPr>
      <w:r>
        <w:rPr>
          <w:b/>
          <w:bCs/>
          <w:u w:val="single"/>
          <w:lang w:val="el" w:eastAsia="el"/>
        </w:rPr>
        <w:t xml:space="preserve">3. </w:t>
      </w:r>
      <w:r>
        <w:rPr>
          <w:b/>
          <w:bCs/>
          <w:u w:val="single"/>
          <w:lang w:val="el" w:eastAsia="el"/>
        </w:rPr>
        <w:t>Καινούργια φορτηγά μικτού βάρους πάνω από 3,5 τόνους και μοτοσικλέτες α. Για καινούργια φορτηγά αυτοκίνητα μικτού βάρους πάνω από 3,5 τόνους, βάσεις αυτών και μοτοσικλέτες, το υπόχρεο πρόσωπο για την καταβολή του τέλους ταξινόμησης και την υποβολή του παραστατικού θέσης σε ανάλωση, αθροίζει τα στοιχεία των περ. α), β) και γ) της παρ. 4 του άρθρου</w:t>
      </w:r>
      <w:hyperlink r:id="rId14" w:history="1">
        <w:r>
          <w:rPr>
            <w:rStyle w:val="Hyperlink"/>
            <w:b/>
            <w:bCs/>
            <w:color w:val="0000EE"/>
            <w:u w:color="0000EE"/>
            <w:lang w:val="el" w:eastAsia="el"/>
          </w:rPr>
          <w:t>123</w:t>
        </w:r>
      </w:hyperlink>
      <w:r>
        <w:rPr>
          <w:b/>
          <w:bCs/>
          <w:u w:val="single"/>
          <w:lang w:val="el" w:eastAsia="el"/>
        </w:rPr>
        <w:t>και της παρ. 2 του άρθρου</w:t>
      </w:r>
      <w:hyperlink r:id="rId15" w:history="1">
        <w:r>
          <w:rPr>
            <w:rStyle w:val="Hyperlink"/>
            <w:b/>
            <w:bCs/>
            <w:color w:val="0000EE"/>
            <w:u w:color="0000EE"/>
            <w:lang w:val="el" w:eastAsia="el"/>
          </w:rPr>
          <w:t xml:space="preserve">124 </w:t>
        </w:r>
      </w:hyperlink>
      <w:hyperlink r:id="rId16" w:history="1">
        <w:r>
          <w:rPr>
            <w:rStyle w:val="Hyperlink"/>
            <w:b/>
            <w:bCs/>
            <w:color w:val="0000EE"/>
            <w:u w:color="0000EE"/>
            <w:lang w:val="el" w:eastAsia="el"/>
          </w:rPr>
          <w:t xml:space="preserve">του ν. </w:t>
        </w:r>
        <w:r>
          <w:rPr>
            <w:rStyle w:val="Hyperlink"/>
            <w:b/>
            <w:bCs/>
            <w:color w:val="0000EE"/>
            <w:u w:color="0000EE"/>
            <w:lang w:val="el" w:eastAsia="el"/>
          </w:rPr>
          <w:t xml:space="preserve">2960/2001 </w:t>
        </w:r>
        <w:r>
          <w:rPr>
            <w:rStyle w:val="Hyperlink"/>
            <w:b/>
            <w:bCs/>
            <w:color w:val="0000EE"/>
            <w:u w:color="0000EE"/>
            <w:lang w:val="el" w:eastAsia="el"/>
          </w:rPr>
          <w:t>,</w:t>
        </w:r>
      </w:hyperlink>
      <w:r>
        <w:rPr>
          <w:b/>
          <w:bCs/>
          <w:u w:val="single"/>
          <w:lang w:val="el" w:eastAsia="el"/>
        </w:rPr>
        <w:t>αντίστοιχα, ήτοι την πράγματι πληρωθείσα ή πληρωτέα αξία, τους δασμούς που πράγματι καταβάλλονται και τα παρεπόμενα έξοδα και δηλώνει τη φορολογητέα αξία στο οικείο παραστατικό. Τα σχετικά δικαιολογητικά υποβάλλονται ηλεκτρονικά μαζί με το παραστατικό θέσης σε ανάλωση.</w:t>
      </w:r>
    </w:p>
    <w:p>
      <w:pPr>
        <w:spacing w:before="240" w:after="240"/>
        <w:rPr>
          <w:lang w:val="el" w:eastAsia="el"/>
        </w:rPr>
      </w:pPr>
      <w:r>
        <w:rPr>
          <w:b/>
          <w:bCs/>
          <w:u w:val="single"/>
          <w:lang w:val="el" w:eastAsia="el"/>
        </w:rPr>
        <w:t>β. Η αρμόδια τελωνειακή αρχή βεβαίωσης του τέλους ταξινόμησης, προβαίνει στην επαλήθευση και στη διαμόρφωση της τελικής φορολογητέας αξίας.</w:t>
      </w:r>
    </w:p>
    <w:p>
      <w:pPr>
        <w:spacing w:before="240" w:after="240"/>
        <w:rPr>
          <w:lang w:val="el" w:eastAsia="el"/>
        </w:rPr>
      </w:pPr>
      <w:r>
        <w:rPr>
          <w:b/>
          <w:bCs/>
          <w:u w:val="single"/>
          <w:lang w:val="el" w:eastAsia="el"/>
        </w:rPr>
        <w:t xml:space="preserve">4. </w:t>
      </w:r>
      <w:r>
        <w:rPr>
          <w:b/>
          <w:bCs/>
          <w:u w:val="single"/>
          <w:lang w:val="el" w:eastAsia="el"/>
        </w:rPr>
        <w:t>Μεταχειρισμένα φορτηγά μικτού βάρους πάνω από 3,5 τόνους και μοτοσικλέτες</w:t>
      </w:r>
    </w:p>
    <w:p>
      <w:pPr>
        <w:spacing w:before="240" w:after="240"/>
        <w:rPr>
          <w:lang w:val="el" w:eastAsia="el"/>
        </w:rPr>
      </w:pPr>
      <w:r>
        <w:rPr>
          <w:b/>
          <w:bCs/>
          <w:u w:val="single"/>
          <w:lang w:val="el" w:eastAsia="el"/>
        </w:rPr>
        <w:t>α. Για τον προσδιορισμό της φορολογητέας αξίας των εν λόγω μεταχειρισμένων οχημάτων, υποβάλλονται ηλεκτρονικά με το παραστατικό θέσης σε ανάλωση, κατά περίπτωση, τα εξής δικαιολογητικά:</w:t>
      </w:r>
    </w:p>
    <w:p>
      <w:pPr>
        <w:spacing w:before="240" w:after="240"/>
        <w:rPr>
          <w:lang w:val="el" w:eastAsia="el"/>
        </w:rPr>
      </w:pPr>
      <w:r>
        <w:rPr>
          <w:b/>
          <w:bCs/>
          <w:u w:val="single"/>
          <w:lang w:val="el" w:eastAsia="el"/>
        </w:rPr>
        <w:t>αα. τιμολόγιο, ή συμφωνητικό αγοράς στην περίπτωση αγοράς του οχήματος από ιδιώτη.</w:t>
      </w:r>
    </w:p>
    <w:p>
      <w:pPr>
        <w:spacing w:before="240" w:after="240"/>
        <w:rPr>
          <w:lang w:val="el" w:eastAsia="el"/>
        </w:rPr>
      </w:pPr>
      <w:r>
        <w:rPr>
          <w:b/>
          <w:bCs/>
          <w:u w:val="single"/>
          <w:lang w:val="el" w:eastAsia="el"/>
        </w:rPr>
        <w:t>ββ. φωτοαντίγραφα εκ του πρωτοτύπου των αλλοδαπών εγγράφων ταξινόμησης (άδεια κυκλοφορίας).</w:t>
      </w:r>
    </w:p>
    <w:p>
      <w:pPr>
        <w:spacing w:before="240" w:after="240"/>
        <w:rPr>
          <w:lang w:val="el" w:eastAsia="el"/>
        </w:rPr>
      </w:pPr>
      <w:r>
        <w:rPr>
          <w:b/>
          <w:bCs/>
          <w:u w:val="single"/>
          <w:lang w:val="el" w:eastAsia="el"/>
        </w:rPr>
        <w:t>β. Οι αρμόδιες Τελωνειακές Περιφέρειες, ανακτούν μέσω του Πληροφορικού Συστήματος Τελωνείων ICISnet το παραστατικό θέσης σε ανάλωση και τα κατά περίπτωση δικαιολογητικά και αφού προβούν στον καθορισμό, επί του παραστατικού, της τεκμαρτής αξίας της περ. α) της παρ. 4 του άρθρου</w:t>
      </w:r>
      <w:hyperlink r:id="rId17" w:history="1">
        <w:r>
          <w:rPr>
            <w:rStyle w:val="Hyperlink"/>
            <w:b/>
            <w:bCs/>
            <w:color w:val="0000EE"/>
            <w:u w:color="0000EE"/>
            <w:lang w:val="el" w:eastAsia="el"/>
          </w:rPr>
          <w:t xml:space="preserve">123 </w:t>
        </w:r>
      </w:hyperlink>
      <w:hyperlink r:id="rId18" w:history="1">
        <w:r>
          <w:rPr>
            <w:rStyle w:val="Hyperlink"/>
            <w:b/>
            <w:bCs/>
            <w:color w:val="0000EE"/>
            <w:u w:color="0000EE"/>
            <w:lang w:val="el" w:eastAsia="el"/>
          </w:rPr>
          <w:t xml:space="preserve">του ν. </w:t>
        </w:r>
        <w:r>
          <w:rPr>
            <w:rStyle w:val="Hyperlink"/>
            <w:b/>
            <w:bCs/>
            <w:color w:val="0000EE"/>
            <w:u w:color="0000EE"/>
            <w:lang w:val="el" w:eastAsia="el"/>
          </w:rPr>
          <w:t>2960/2001</w:t>
        </w:r>
        <w:r>
          <w:rPr>
            <w:rStyle w:val="Hyperlink"/>
            <w:b/>
            <w:bCs/>
            <w:color w:val="0000EE"/>
            <w:u w:color="0000EE"/>
            <w:lang w:val="el" w:eastAsia="el"/>
          </w:rPr>
          <w:t>,</w:t>
        </w:r>
      </w:hyperlink>
      <w:r>
        <w:rPr>
          <w:b/>
          <w:bCs/>
          <w:u w:val="single"/>
          <w:lang w:val="el" w:eastAsia="el"/>
        </w:rPr>
        <w:t xml:space="preserve"> λαμβάνοντας υπόψη ότι η εν λόγω αξία δεν μπορεί να είναι μικρότερη της πράγματι πληρωθείσας ή πληρωτέας αξίας (τιμή αγοράς), καταχωρίζουν τη φορολογητέα αξία στο σχετικό πεδίο επί του παραστατικού θέσης σε ανάλωση.</w:t>
      </w:r>
    </w:p>
    <w:p>
      <w:pPr>
        <w:spacing w:before="240" w:after="240"/>
        <w:rPr>
          <w:lang w:val="el" w:eastAsia="el"/>
        </w:rPr>
      </w:pPr>
      <w:r>
        <w:rPr>
          <w:b/>
          <w:bCs/>
          <w:u w:val="single"/>
          <w:lang w:val="el" w:eastAsia="el"/>
        </w:rPr>
        <w:t>Η καθορισθείσα αξία είναι διαθέσιμη στην αρμόδια τελωνειακή αρχή για τη βεβαίωση του τέλους ταξινόμησης, η οποία προβαίνει στη διαμόρφωση της τελικής φορολογητέας αξίας του οχήματος, σύμφωνα με την παρ. 4 του άρθρου 123 του ν.2960/2001.</w:t>
      </w:r>
    </w:p>
    <w:p>
      <w:pPr>
        <w:spacing w:before="240" w:after="240"/>
        <w:rPr>
          <w:lang w:val="el" w:eastAsia="el"/>
        </w:rPr>
      </w:pPr>
      <w:r>
        <w:rPr>
          <w:b/>
          <w:bCs/>
          <w:u w:val="single"/>
          <w:lang w:val="el" w:eastAsia="el"/>
        </w:rPr>
        <w:t>γ. Για τον προσδιορισμό της φορολογητέας αξίας των μεταχειρισμένων μοτοσικλετών, ο υπόχρεος για την καταβολή του τέλους ταξινόμησης, υποβάλλει το παραστατικό θέσης σε ανάλωση, και τα συνημμένα σε αυτό δικαιολογητικά έγγραφα.</w:t>
      </w:r>
    </w:p>
    <w:p>
      <w:pPr>
        <w:spacing w:before="240" w:after="240"/>
        <w:rPr>
          <w:lang w:val="el" w:eastAsia="el"/>
        </w:rPr>
      </w:pPr>
      <w:r>
        <w:rPr>
          <w:b/>
          <w:bCs/>
          <w:u w:val="single"/>
          <w:lang w:val="el" w:eastAsia="el"/>
        </w:rPr>
        <w:t>Οι αρμόδιες Τελωνειακές Περιφέρειες, ανακτούν, μέσω του Πληροφορικού Συστήματος Τελωνείων το παραστατικό και τα δικαιολογητικά έγγραφα και αφού προβούν στον καθορισμό της φορολογητέας αξίας, σύμφωνα με τα οριζόμενα στην περ. α) της παρ. 2 του άρθρου</w:t>
      </w:r>
      <w:hyperlink r:id="rId19" w:history="1">
        <w:r>
          <w:rPr>
            <w:rStyle w:val="Hyperlink"/>
            <w:b/>
            <w:bCs/>
            <w:color w:val="0000EE"/>
            <w:u w:color="0000EE"/>
            <w:lang w:val="el" w:eastAsia="el"/>
          </w:rPr>
          <w:t>124</w:t>
        </w:r>
      </w:hyperlink>
      <w:r>
        <w:rPr>
          <w:b/>
          <w:bCs/>
          <w:u w:val="single"/>
          <w:lang w:val="el" w:eastAsia="el"/>
        </w:rPr>
        <w:t>του ν.2960/2001, ήτοι την τιμή χονδρικής πώλησης κατά τον χρόνο κυκλοφορίας στη διεθνή αγορά, καταχωρίζουν τη φορολογητέα αξία στο σχετικό πεδίο επί του τελωνειακού παραστατικού.</w:t>
      </w:r>
    </w:p>
    <w:p>
      <w:pPr>
        <w:spacing w:before="240" w:after="240"/>
        <w:rPr>
          <w:lang w:val="el" w:eastAsia="el"/>
        </w:rPr>
      </w:pPr>
      <w:r>
        <w:rPr>
          <w:b/>
          <w:bCs/>
          <w:u w:val="single"/>
          <w:lang w:val="el" w:eastAsia="el"/>
        </w:rPr>
        <w:t>Η καθορισθείσα αξία είναι διαθέσιμη στην αρμόδια τελωνειακή αρχή για τη βεβαίωση του τέλους ταξινόμησης, η οποία προβαίνει στη διαμόρφωση της τελικής φορολογητέας αξίας του οχήματος, σύμφωνα με την παρ. 2 του άρθρου 124</w:t>
      </w:r>
      <w:hyperlink r:id="rId20" w:history="1">
        <w:r>
          <w:rPr>
            <w:rStyle w:val="Hyperlink"/>
            <w:b/>
            <w:bCs/>
            <w:color w:val="0000EE"/>
            <w:u w:color="0000EE"/>
            <w:lang w:val="el" w:eastAsia="el"/>
          </w:rPr>
          <w:t xml:space="preserve">του ν. </w:t>
        </w:r>
        <w:r>
          <w:rPr>
            <w:rStyle w:val="Hyperlink"/>
            <w:b/>
            <w:bCs/>
            <w:color w:val="0000EE"/>
            <w:u w:color="0000EE"/>
            <w:lang w:val="el" w:eastAsia="el"/>
          </w:rPr>
          <w:t>2960/2001</w:t>
        </w:r>
        <w:r>
          <w:rPr>
            <w:rStyle w:val="Hyperlink"/>
            <w:b/>
            <w:bCs/>
            <w:color w:val="0000EE"/>
            <w:u w:color="0000EE"/>
            <w:lang w:val="el" w:eastAsia="el"/>
          </w:rPr>
          <w:t>.</w:t>
        </w:r>
      </w:hyperlink>
      <w:r>
        <w:rPr>
          <w:b/>
          <w:bCs/>
          <w:u w:val="single"/>
          <w:lang w:val="el" w:eastAsia="el"/>
        </w:rPr>
        <w:t>».</w:t>
      </w:r>
    </w:p>
    <w:p>
      <w:pPr>
        <w:pStyle w:val="MainText"/>
        <w:spacing w:before="120" w:after="0"/>
        <w:rPr>
          <w:lang w:val="el" w:eastAsia="el"/>
        </w:rPr>
      </w:pPr>
      <w:r>
        <w:rPr>
          <w:b/>
          <w:bCs/>
          <w:u w:val="single"/>
          <w:lang w:val="el" w:eastAsia="el"/>
        </w:rPr>
        <w:t>5.</w:t>
      </w:r>
      <w:r>
        <w:rPr>
          <w:b/>
          <w:bCs/>
          <w:u w:val="single"/>
          <w:lang w:val="el" w:eastAsia="el"/>
        </w:rPr>
        <w:t xml:space="preserve"> </w:t>
      </w:r>
      <w:r>
        <w:rPr>
          <w:b/>
          <w:bCs/>
          <w:u w:val="single"/>
          <w:lang w:val="el" w:eastAsia="el"/>
        </w:rPr>
        <w:t>Στο άρθρο 9 η παρ. 3 αντικαθίσταται, ως ακολούθως:</w:t>
      </w:r>
    </w:p>
    <w:p>
      <w:pPr>
        <w:spacing w:before="240" w:after="240"/>
        <w:rPr>
          <w:lang w:val="el" w:eastAsia="el"/>
        </w:rPr>
      </w:pPr>
      <w:r>
        <w:rPr>
          <w:b/>
          <w:bCs/>
          <w:u w:val="single"/>
          <w:lang w:val="el" w:eastAsia="el"/>
        </w:rPr>
        <w:t>«3. Η περίπτωση εφαρμογής των υπό στοιχείων α) έως ζ) της παρ. 1, βάσει της της οποίας καθορίστηκε η φορολογητέα αξία, αναγράφεται από τον αρμόδιο ελεγκτή της Τελωνειακής Περιφέρειας στο πεδίο «Παρατηρήσεις» του παραστατικού θέσης σε ανάλωση για τη βεβαίωση και είσπραξη του τέλους ταξινόμησης.».</w:t>
      </w:r>
    </w:p>
    <w:p>
      <w:pPr>
        <w:pStyle w:val="MainText"/>
        <w:spacing w:before="120" w:after="0"/>
        <w:rPr>
          <w:lang w:val="el" w:eastAsia="el"/>
        </w:rPr>
      </w:pPr>
      <w:r>
        <w:rPr>
          <w:b/>
          <w:bCs/>
          <w:u w:val="single"/>
          <w:lang w:val="el" w:eastAsia="el"/>
        </w:rPr>
        <w:t>6.</w:t>
      </w:r>
      <w:r>
        <w:rPr>
          <w:b/>
          <w:bCs/>
          <w:u w:val="single"/>
          <w:lang w:val="el" w:eastAsia="el"/>
        </w:rPr>
        <w:t xml:space="preserve"> </w:t>
      </w:r>
      <w:r>
        <w:rPr>
          <w:b/>
          <w:bCs/>
          <w:u w:val="single"/>
          <w:lang w:val="el" w:eastAsia="el"/>
        </w:rPr>
        <w:t>Στο άρθρο 12 τροποποιείται ο τίτλος του άρθρου και μετά την παρ. 2 προστίθεται παρ. 3, ως ακολούθως: Έλεγχοι – Φυσικός έλεγχος οχημάτων».</w:t>
      </w:r>
    </w:p>
    <w:p>
      <w:pPr>
        <w:spacing w:before="240" w:after="240"/>
        <w:rPr>
          <w:lang w:val="el" w:eastAsia="el"/>
        </w:rPr>
      </w:pPr>
      <w:r>
        <w:rPr>
          <w:b/>
          <w:bCs/>
          <w:u w:val="single"/>
          <w:lang w:val="el" w:eastAsia="el"/>
        </w:rPr>
        <w:t>«3. Ο φυσικός έλεγχος του εκάστοτε οχήματος, στις περιπτώσεις που αυτός απαιτείται, διενεργείται σε συνδυασμό με τα κατά περίπτωση συνυποβαλλόμενα δικαιολογητικά έγγραφα στο παραστατικό θέσης σε ανάλωση και συνίσταται στη διαπίστωση:</w:t>
      </w:r>
    </w:p>
    <w:p>
      <w:pPr>
        <w:spacing w:before="240" w:after="240"/>
        <w:rPr>
          <w:lang w:val="el" w:eastAsia="el"/>
        </w:rPr>
      </w:pPr>
      <w:r>
        <w:rPr>
          <w:b/>
          <w:bCs/>
          <w:u w:val="single"/>
          <w:lang w:val="el" w:eastAsia="el"/>
        </w:rPr>
        <w:t xml:space="preserve">• </w:t>
      </w:r>
      <w:r>
        <w:rPr>
          <w:b/>
          <w:bCs/>
          <w:u w:val="single"/>
          <w:lang w:val="el" w:eastAsia="el"/>
        </w:rPr>
        <w:t>της ταυτοποίησης του οχήματος με τον αριθμό πλαισίου</w:t>
      </w:r>
    </w:p>
    <w:p>
      <w:pPr>
        <w:spacing w:before="240" w:after="240"/>
        <w:rPr>
          <w:lang w:val="el" w:eastAsia="el"/>
        </w:rPr>
      </w:pPr>
      <w:r>
        <w:rPr>
          <w:b/>
          <w:bCs/>
          <w:u w:val="single"/>
          <w:lang w:val="el" w:eastAsia="el"/>
        </w:rPr>
        <w:t xml:space="preserve">• </w:t>
      </w:r>
      <w:r>
        <w:rPr>
          <w:b/>
          <w:bCs/>
          <w:u w:val="single"/>
          <w:lang w:val="el" w:eastAsia="el"/>
        </w:rPr>
        <w:t>του τύπου του αμαξώματος</w:t>
      </w:r>
    </w:p>
    <w:p>
      <w:pPr>
        <w:spacing w:before="240" w:after="240"/>
        <w:rPr>
          <w:lang w:val="el" w:eastAsia="el"/>
        </w:rPr>
      </w:pPr>
      <w:r>
        <w:rPr>
          <w:b/>
          <w:bCs/>
          <w:u w:val="single"/>
          <w:lang w:val="el" w:eastAsia="el"/>
        </w:rPr>
        <w:t xml:space="preserve">• </w:t>
      </w:r>
      <w:r>
        <w:rPr>
          <w:b/>
          <w:bCs/>
          <w:u w:val="single"/>
          <w:lang w:val="el" w:eastAsia="el"/>
        </w:rPr>
        <w:t>του εξοπλισμού που αυτό φέρει, σύμφωνα με τα Παραρτήματα Ι ή ΙΙ.</w:t>
      </w:r>
    </w:p>
    <w:p>
      <w:pPr>
        <w:spacing w:before="240" w:after="240"/>
        <w:rPr>
          <w:lang w:val="el" w:eastAsia="el"/>
        </w:rPr>
      </w:pPr>
      <w:r>
        <w:rPr>
          <w:b/>
          <w:bCs/>
          <w:u w:val="single"/>
          <w:lang w:val="el" w:eastAsia="el"/>
        </w:rPr>
        <w:t>Επιπλέον και προκειμένου για τα μεταχειρισμένα οχήματα στη διαπίστωση:</w:t>
      </w:r>
    </w:p>
    <w:p>
      <w:pPr>
        <w:spacing w:before="240" w:after="240"/>
        <w:rPr>
          <w:lang w:val="el" w:eastAsia="el"/>
        </w:rPr>
      </w:pPr>
      <w:r>
        <w:rPr>
          <w:b/>
          <w:bCs/>
          <w:u w:val="single"/>
          <w:lang w:val="el" w:eastAsia="el"/>
        </w:rPr>
        <w:t xml:space="preserve">• </w:t>
      </w:r>
      <w:r>
        <w:rPr>
          <w:b/>
          <w:bCs/>
          <w:u w:val="single"/>
          <w:lang w:val="el" w:eastAsia="el"/>
        </w:rPr>
        <w:t>του πρώτου έτους κυκλοφορίας του οχήματος στη διεθνή αγορά και</w:t>
      </w:r>
    </w:p>
    <w:p>
      <w:pPr>
        <w:spacing w:before="240" w:after="240"/>
        <w:rPr>
          <w:lang w:val="el" w:eastAsia="el"/>
        </w:rPr>
      </w:pPr>
      <w:r>
        <w:rPr>
          <w:b/>
          <w:bCs/>
          <w:u w:val="single"/>
          <w:lang w:val="el" w:eastAsia="el"/>
        </w:rPr>
        <w:t xml:space="preserve">• </w:t>
      </w:r>
      <w:r>
        <w:rPr>
          <w:b/>
          <w:bCs/>
          <w:u w:val="single"/>
          <w:lang w:val="el" w:eastAsia="el"/>
        </w:rPr>
        <w:t>του αριθμού των διανυθέντων χιλιομέτρων.</w:t>
      </w:r>
    </w:p>
    <w:p>
      <w:pPr>
        <w:spacing w:before="240" w:after="240"/>
        <w:rPr>
          <w:lang w:val="el" w:eastAsia="el"/>
        </w:rPr>
      </w:pPr>
      <w:r>
        <w:rPr>
          <w:b/>
          <w:bCs/>
          <w:u w:val="single"/>
          <w:lang w:val="el" w:eastAsia="el"/>
        </w:rPr>
        <w:t>Ο αρμόδιος για τον φυσικό έλεγχο τελωνειακός ελεγκτής, μετά το πέρας του ελέγχου καταχωρίζει τα αποτελέσματα του ελέγχου στο παραστατικό θέσης σε ανάλωση.».</w:t>
      </w:r>
    </w:p>
    <w:p>
      <w:pPr>
        <w:pStyle w:val="MainText"/>
        <w:spacing w:before="120" w:after="0"/>
        <w:rPr>
          <w:lang w:val="el" w:eastAsia="el"/>
        </w:rPr>
      </w:pPr>
      <w:r>
        <w:rPr>
          <w:b/>
          <w:bCs/>
          <w:u w:val="single"/>
          <w:lang w:val="el" w:eastAsia="el"/>
        </w:rPr>
        <w:t>7.</w:t>
      </w:r>
      <w:r>
        <w:rPr>
          <w:b/>
          <w:bCs/>
          <w:u w:val="single"/>
          <w:lang w:val="el" w:eastAsia="el"/>
        </w:rPr>
        <w:t xml:space="preserve"> </w:t>
      </w:r>
      <w:r>
        <w:rPr>
          <w:b/>
          <w:bCs/>
          <w:u w:val="single"/>
          <w:lang w:val="el" w:eastAsia="el"/>
        </w:rPr>
        <w:t>Στο άρθρο 14 αντικαθίσταται η παρ. 2 και μετά την παρ. 6 προστίθεται παρ. 7, ως ακολούθως:</w:t>
      </w:r>
    </w:p>
    <w:p>
      <w:pPr>
        <w:spacing w:before="240" w:after="240"/>
        <w:rPr>
          <w:lang w:val="el" w:eastAsia="el"/>
        </w:rPr>
      </w:pPr>
      <w:r>
        <w:rPr>
          <w:b/>
          <w:bCs/>
          <w:u w:val="single"/>
          <w:lang w:val="el" w:eastAsia="el"/>
        </w:rPr>
        <w:t>«2. Τα υποστηρικτικά της Ειδικής Δήλωσης έγγραφα της παρ. 1, εκτός της ηλεκτρονικής υποβολής τους, προσκομίζονται και σε πρωτότυπη μορφή στο τελωνείο στις περιπτώσεις διενέργειας φυσικού ελέγχου. Τα ως άνω έγγραφα προσκομίζονται σε πρωτότυπη μορφή και στις περιπτώσεις διενέργειας ελέγχου εγγράφων, εφόσον κριθεί σκόπιμο από την αρμόδια αρχή ελέγχου.</w:t>
      </w:r>
    </w:p>
    <w:p>
      <w:pPr>
        <w:spacing w:before="240" w:after="240"/>
        <w:rPr>
          <w:lang w:val="el" w:eastAsia="el"/>
        </w:rPr>
      </w:pPr>
      <w:r>
        <w:rPr>
          <w:b/>
          <w:bCs/>
          <w:u w:val="single"/>
          <w:lang w:val="el" w:eastAsia="el"/>
        </w:rPr>
        <w:t>Επίσης, τα εν λόγω δικαιολογητικά έγγραφα προσκομίζονται σε πρωτότυπη μορφή και στις περιπτώσεις διενέργειας εκ των υστέρων ελέγχων, κατόπιν σχετικής πρόσκλησης από το τελωνείο.».</w:t>
      </w:r>
    </w:p>
    <w:p>
      <w:pPr>
        <w:spacing w:before="240" w:after="240"/>
        <w:rPr>
          <w:lang w:val="el" w:eastAsia="el"/>
        </w:rPr>
      </w:pPr>
      <w:r>
        <w:rPr>
          <w:b/>
          <w:bCs/>
          <w:u w:val="single"/>
          <w:lang w:val="el" w:eastAsia="el"/>
        </w:rPr>
        <w:t>«7. Τα υποστηρικτικά της Δ.Ε.Φ.Κ. έγγραφα που προσκομίζονται σε πρωτότυπη μορφή, σύμφωνα</w:t>
      </w:r>
    </w:p>
    <w:p>
      <w:pPr>
        <w:spacing w:before="240" w:after="240"/>
        <w:rPr>
          <w:lang w:val="el" w:eastAsia="el"/>
        </w:rPr>
      </w:pPr>
      <w:r>
        <w:rPr>
          <w:b/>
          <w:bCs/>
          <w:u w:val="single"/>
          <w:lang w:val="el" w:eastAsia="el"/>
        </w:rPr>
        <w:t>με τα οριζόμενα στην παρ. 2, τηρούνται σε φυσικό αρχείο από τις Τελωνειακές Αρχές μέχρι την ολοκλήρωση των προβλεπόμενων από τις ισχύουσες διατάξεις διαδικασιών και ελέγχων και στη συνέχεια παραδίδονται στον υπόχρεο για την εφαρμογή των οριζόμενων στην παρ. 5.».</w:t>
      </w:r>
    </w:p>
    <w:p>
      <w:pPr>
        <w:pStyle w:val="MainText"/>
        <w:spacing w:before="120" w:after="0"/>
        <w:rPr>
          <w:lang w:val="el" w:eastAsia="el"/>
        </w:rPr>
      </w:pPr>
      <w:r>
        <w:rPr>
          <w:b/>
          <w:bCs/>
          <w:u w:val="single"/>
          <w:lang w:val="el" w:eastAsia="el"/>
        </w:rPr>
        <w:t>8.</w:t>
      </w:r>
      <w:r>
        <w:rPr>
          <w:b/>
          <w:bCs/>
          <w:u w:val="single"/>
          <w:lang w:val="el" w:eastAsia="el"/>
        </w:rPr>
        <w:t xml:space="preserve"> </w:t>
      </w:r>
      <w:r>
        <w:rPr>
          <w:b/>
          <w:bCs/>
          <w:u w:val="single"/>
          <w:lang w:val="el" w:eastAsia="el"/>
        </w:rPr>
        <w:t>Τα Παραρτήματα Ι και ΙΙ αντικαθίστανται, αντίστοιχα, με τα ακόλουθα παραρτήματα Ι και ΙΙ:</w:t>
      </w:r>
    </w:p>
    <w:p>
      <w:pPr>
        <w:spacing w:before="240" w:after="240"/>
        <w:rPr>
          <w:lang w:val="el" w:eastAsia="el"/>
        </w:rPr>
      </w:pPr>
      <w:r>
        <w:rPr>
          <w:b/>
          <w:bCs/>
          <w:u w:val="single"/>
          <w:lang w:val="el" w:eastAsia="el"/>
        </w:rPr>
        <w:t>ΕΛΛΗΝΙΚΗ ΔΗΜΟΚΡΑΤΙΑ</w:t>
      </w:r>
    </w:p>
    <w:p>
      <w:pPr>
        <w:spacing w:before="240" w:after="240"/>
        <w:rPr>
          <w:lang w:val="el" w:eastAsia="el"/>
        </w:rPr>
      </w:pPr>
      <w:r>
        <w:rPr>
          <w:b/>
          <w:bCs/>
          <w:u w:val="single"/>
          <w:lang w:val="el" w:eastAsia="el"/>
        </w:rPr>
        <w:t>ΑΑΔΕ</w:t>
      </w:r>
    </w:p>
    <w:p>
      <w:pPr>
        <w:spacing w:before="240" w:after="240"/>
        <w:rPr>
          <w:lang w:val="el" w:eastAsia="el"/>
        </w:rPr>
      </w:pPr>
      <w:r>
        <w:rPr>
          <w:b/>
          <w:bCs/>
          <w:u w:val="single"/>
          <w:lang w:val="el" w:eastAsia="el"/>
        </w:rPr>
        <w:t>Ανεξάρτητη Αρχή Δημοσίων Εσόδων</w:t>
      </w:r>
    </w:p>
    <w:p>
      <w:pPr>
        <w:spacing w:before="240" w:after="240"/>
        <w:rPr>
          <w:lang w:val="el" w:eastAsia="el"/>
        </w:rPr>
      </w:pPr>
      <w:r>
        <w:rPr>
          <w:b/>
          <w:bCs/>
          <w:u w:val="single"/>
          <w:lang w:val="el" w:eastAsia="el"/>
        </w:rPr>
        <w:t>ΠΑΡΑΡΤΗΜΑ Ι</w:t>
      </w:r>
    </w:p>
    <w:p>
      <w:pPr>
        <w:spacing w:before="240" w:after="240"/>
        <w:rPr>
          <w:lang w:val="el" w:eastAsia="el"/>
        </w:rPr>
      </w:pPr>
      <w:r>
        <w:rPr>
          <w:b/>
          <w:bCs/>
          <w:u w:val="single"/>
          <w:lang w:val="el" w:eastAsia="el"/>
        </w:rPr>
        <w:t>ΓΕΝΙΚΗ ΔΙΕΥΘΥΝΣΗ ΤΕΛΩΝΕΙΩΝ &amp; Ε.Φ.Κ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03"/>
        <w:gridCol w:w="919"/>
        <w:gridCol w:w="361"/>
        <w:gridCol w:w="307"/>
        <w:gridCol w:w="307"/>
        <w:gridCol w:w="1041"/>
        <w:gridCol w:w="471"/>
        <w:gridCol w:w="405"/>
        <w:gridCol w:w="405"/>
        <w:gridCol w:w="307"/>
        <w:gridCol w:w="683"/>
        <w:gridCol w:w="425"/>
        <w:gridCol w:w="425"/>
        <w:gridCol w:w="191"/>
        <w:gridCol w:w="1280"/>
        <w:gridCol w:w="614"/>
      </w:tblGrid>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ΔΗΛΩΣΗ ΕΞΟΠΛΙΣΜΟΥ ΚΑΙ ΑΞΙΑΣ</w:t>
            </w:r>
          </w:p>
          <w:p>
            <w:pPr>
              <w:spacing w:before="240"/>
              <w:rPr>
                <w:b w:val="0"/>
                <w:bCs w:val="0"/>
                <w:i w:val="0"/>
                <w:iCs w:val="0"/>
                <w:smallCaps w:val="0"/>
                <w:color w:val="000000"/>
                <w:lang w:val="el" w:eastAsia="el"/>
              </w:rPr>
            </w:pPr>
            <w:r>
              <w:rPr>
                <w:b/>
                <w:bCs/>
                <w:i w:val="0"/>
                <w:iCs w:val="0"/>
                <w:smallCaps w:val="0"/>
                <w:color w:val="000000"/>
                <w:lang w:val="el" w:eastAsia="el"/>
              </w:rPr>
              <w:t>ΛΙΑΝΙΚΗΣ ΤΙΜΗΣ ΠΩΛΗΣΗΣ ΠΡΟ ΦΟΡΩΝ ΑΥΤΟΚΙΝΗΤΩΝ</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Προς Τελωνείο</w:t>
            </w:r>
          </w:p>
        </w:tc>
      </w:tr>
      <w:tr>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ΔΗΛΩΣΗ ΥΠΟΧΡΕΟΥ – ΣΤΟΙΧΕΙΑ ΑΥΤΟΚΙΝΗΤΟΥ</w:t>
            </w:r>
          </w:p>
        </w:tc>
      </w:tr>
      <w:tr>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Γνωρίζοντας τις συνέπειες για παράβαση των τελωνειακών διατάξεων, δηλώνω υπεύθυνα ότι το επιβατικό/φορτηγό μέχρι και 3,5 τόνους αυτοκίνητο με τα εξής στοιχεία:</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Μάρκα Μοντέλο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Tύπος – Παραλλαγή - Έκδοση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Χώρα Προέλευσης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Ημ/νια 1</w:t>
            </w:r>
            <w:r>
              <w:rPr>
                <w:b/>
                <w:bCs/>
                <w:i w:val="0"/>
                <w:iCs w:val="0"/>
                <w:smallCaps w:val="0"/>
                <w:color w:val="000000"/>
                <w:sz w:val="30"/>
                <w:szCs w:val="30"/>
                <w:vertAlign w:val="superscript"/>
                <w:lang w:val="el" w:eastAsia="el"/>
              </w:rPr>
              <w:t>ης</w:t>
            </w:r>
            <w:r>
              <w:rPr>
                <w:b/>
                <w:bCs/>
                <w:i w:val="0"/>
                <w:iCs w:val="0"/>
                <w:smallCaps w:val="0"/>
                <w:color w:val="000000"/>
                <w:lang w:val="el" w:eastAsia="el"/>
              </w:rPr>
              <w:t xml:space="preserve"> κυκλοφορίας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 Πλαισίου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 Κινητήρα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Κυβικά</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Θύρες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Διανυθέντα χιλιόμετρα</w:t>
            </w:r>
          </w:p>
          <w:p>
            <w:pPr>
              <w:spacing w:before="240" w:after="240"/>
              <w:rPr>
                <w:b w:val="0"/>
                <w:bCs w:val="0"/>
                <w:i w:val="0"/>
                <w:iCs w:val="0"/>
                <w:smallCaps w:val="0"/>
                <w:color w:val="000000"/>
                <w:lang w:val="el" w:eastAsia="el"/>
              </w:rPr>
            </w:pPr>
            <w:r>
              <w:rPr>
                <w:b/>
                <w:bCs/>
                <w:i w:val="0"/>
                <w:iCs w:val="0"/>
                <w:smallCaps w:val="0"/>
                <w:color w:val="000000"/>
                <w:lang w:val="el" w:eastAsia="el"/>
              </w:rPr>
              <w:t>Αρ. πρωτ. τιμοκαταλόγου</w:t>
            </w:r>
          </w:p>
          <w:p>
            <w:pPr>
              <w:spacing w:before="240"/>
              <w:rPr>
                <w:b w:val="0"/>
                <w:bCs w:val="0"/>
                <w:i w:val="0"/>
                <w:iCs w:val="0"/>
                <w:smallCaps w:val="0"/>
                <w:color w:val="000000"/>
                <w:lang w:val="el" w:eastAsia="el"/>
              </w:rPr>
            </w:pPr>
            <w:r>
              <w:rPr>
                <w:b/>
                <w:bCs/>
                <w:i w:val="0"/>
                <w:iCs w:val="0"/>
                <w:smallCaps w:val="0"/>
                <w:color w:val="000000"/>
                <w:lang w:val="el" w:eastAsia="el"/>
              </w:rPr>
              <w:t>Ημ/νία απαιτητού του Τ.Τ.</w:t>
            </w:r>
          </w:p>
        </w:tc>
      </w:tr>
      <w:tr>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φέρει τον παρακάτω εξοπλισμό και η λιανική τιμή πώλησης προ φόρων είναι η ακόλουθη:</w:t>
            </w:r>
          </w:p>
        </w:tc>
      </w:tr>
      <w:tr>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ΠΡΟΣΘΕΤΟΣ (EXTRA) ΕΞΟΠΛΙΣΜΟΣ που φέρει το αυτοκίνητο: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Βασική τιμή λιανικής πώλησης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Ο/Η ΔΗΛ……..</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 / </w:t>
            </w:r>
          </w:p>
          <w:p>
            <w:pPr>
              <w:spacing w:before="240"/>
              <w:rPr>
                <w:b w:val="0"/>
                <w:bCs w:val="0"/>
                <w:i w:val="0"/>
                <w:iCs w:val="0"/>
                <w:smallCaps w:val="0"/>
                <w:color w:val="000000"/>
                <w:lang w:val="el" w:eastAsia="el"/>
              </w:rPr>
            </w:pPr>
            <w:r>
              <w:rPr>
                <w:b w:val="0"/>
                <w:bCs w:val="0"/>
                <w:i w:val="0"/>
                <w:iCs w:val="0"/>
                <w:smallCaps w:val="0"/>
                <w:color w:val="000000"/>
                <w:lang w:val="el" w:eastAsia="el"/>
              </w:rPr>
              <w:t>Υπογραφή</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 EXTRA εξοπλισμού</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Σύνολο αξίας</w:t>
            </w:r>
          </w:p>
          <w:p>
            <w:pPr>
              <w:spacing w:before="240"/>
              <w:rPr>
                <w:b w:val="0"/>
                <w:bCs w:val="0"/>
                <w:i w:val="0"/>
                <w:iCs w:val="0"/>
                <w:smallCaps w:val="0"/>
                <w:color w:val="000000"/>
                <w:lang w:val="el" w:eastAsia="el"/>
              </w:rPr>
            </w:pPr>
            <w:r>
              <w:rPr>
                <w:b w:val="0"/>
                <w:bCs w:val="0"/>
                <w:i w:val="0"/>
                <w:iCs w:val="0"/>
                <w:smallCaps w:val="0"/>
                <w:color w:val="000000"/>
                <w:lang w:val="el" w:eastAsia="el"/>
              </w:rPr>
              <w:t>(ολογράφως)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ΠΑΡΑΡΤΗΜΑ ΙI</w:t>
      </w:r>
    </w:p>
    <w:p>
      <w:pPr>
        <w:spacing w:before="240" w:after="240"/>
        <w:rPr>
          <w:lang w:val="el" w:eastAsia="el"/>
        </w:rPr>
      </w:pPr>
      <w:r>
        <w:rPr>
          <w:b/>
          <w:bCs/>
          <w:u w:val="single"/>
          <w:lang w:val="el" w:eastAsia="el"/>
        </w:rPr>
        <w:t>ΓΕΝΙΚΗ ΔΙΕΥΘΥΝΣΗ ΤΕΛΩΝΕΙΩΝ &amp; Ε.Φ.Κ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67"/>
        <w:gridCol w:w="1984"/>
        <w:gridCol w:w="26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ΔΗΛΩΣΗ ΕΞΟΠΛΙΣΜΟΥ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Προς Τελωνείο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Ημ/νια / / </w:t>
            </w:r>
          </w:p>
          <w:p>
            <w:pPr>
              <w:spacing w:before="240"/>
              <w:rPr>
                <w:b w:val="0"/>
                <w:bCs w:val="0"/>
                <w:i w:val="0"/>
                <w:iCs w:val="0"/>
                <w:smallCaps w:val="0"/>
                <w:color w:val="000000"/>
                <w:lang w:val="el" w:eastAsia="el"/>
              </w:rPr>
            </w:pPr>
            <w:r>
              <w:rPr>
                <w:b/>
                <w:bCs/>
                <w:i w:val="0"/>
                <w:iCs w:val="0"/>
                <w:smallCaps w:val="0"/>
                <w:color w:val="000000"/>
                <w:lang w:val="el" w:eastAsia="el"/>
              </w:rPr>
              <w:t>Αριθ. Πρωτ.</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ΔΗΛΩΣΗ – ΑΙΤΗΣΗ ΥΠΟΧΡΕΟΥ – ΣΤΟΙΧΕΙΑ ΑΥΤΟΚΙΝΗΤΟΥ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Γνωρίζοντας τις συνέπειες για παράβαση των τελωνειακών διατάξεων, δηλώνω υπεύθυνα ότι το επιβατικό/φορτηγό μέχρι και 3,5 τόνους αυτοκίνητο με τα εξής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Μάρκα Μοντέλο Tύπος – Παραλλαγή -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Χώρα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Ημ/νια 1</w:t>
            </w:r>
            <w:r>
              <w:rPr>
                <w:b w:val="0"/>
                <w:bCs w:val="0"/>
                <w:i w:val="0"/>
                <w:iCs w:val="0"/>
                <w:smallCaps w:val="0"/>
                <w:color w:val="000000"/>
                <w:sz w:val="30"/>
                <w:szCs w:val="30"/>
                <w:vertAlign w:val="superscript"/>
                <w:lang w:val="el" w:eastAsia="el"/>
              </w:rPr>
              <w:t>ης</w:t>
            </w:r>
            <w:r>
              <w:rPr>
                <w:b/>
                <w:bCs/>
                <w:i w:val="0"/>
                <w:iCs w:val="0"/>
                <w:smallCaps w:val="0"/>
                <w:color w:val="000000"/>
                <w:lang w:val="el" w:eastAsia="el"/>
              </w:rPr>
              <w:t>κυκλοφορίας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 Πλαισίου Αριθ. Κινητήρα Κυβικά Θύρες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Διανυθέντα χιλιόμετρα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το οποίο κατατέθηκε η με αρ. … ΔΕΦΚ, φέρει τον παρακάτω εξοπλισμό και παρακαλώ για τον καθορισμό της αξίας: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ΕΞΟΠΛΙΣΜΟΣ</w:t>
            </w:r>
          </w:p>
          <w:p>
            <w:pPr>
              <w:spacing w:before="240"/>
              <w:rPr>
                <w:b w:val="0"/>
                <w:bCs w:val="0"/>
                <w:i w:val="0"/>
                <w:iCs w:val="0"/>
                <w:smallCaps w:val="0"/>
                <w:color w:val="000000"/>
                <w:lang w:val="el" w:eastAsia="el"/>
              </w:rPr>
            </w:pPr>
            <w:r>
              <w:rPr>
                <w:b/>
                <w:bCs/>
                <w:i w:val="0"/>
                <w:iCs w:val="0"/>
                <w:smallCaps w:val="0"/>
                <w:color w:val="000000"/>
                <w:lang w:val="el" w:eastAsia="el"/>
              </w:rPr>
              <w:t>που φέρει το αυτοκίνητο: ΔΗΛΩΘΕΝΤΑ (1) - ΕΥΡΕΘΕΝΤΑ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99"/>
        <w:gridCol w:w="298"/>
        <w:gridCol w:w="381"/>
        <w:gridCol w:w="702"/>
        <w:gridCol w:w="752"/>
        <w:gridCol w:w="753"/>
        <w:gridCol w:w="298"/>
        <w:gridCol w:w="381"/>
        <w:gridCol w:w="702"/>
        <w:gridCol w:w="1897"/>
        <w:gridCol w:w="298"/>
        <w:gridCol w:w="381"/>
        <w:gridCol w:w="7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ΜΗΧΑΝΙΚΑ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ηχείων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Αερόσακοι πλαϊνοί εμπρός-πίσω οροφής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Σύστημα ABS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ραδιοφωνική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ΕΞ/ΚΟΣ ΕΞΟΠΛΙΣΜΟΣ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Σύστημα αντισπίν ADS-EDA.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Ενισχυτής- ηχοσύστημα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Οροφή χειροκίνητη-ηλεκτρική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Σύστημα ευστάθειας ESP-DSC-ASC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Σύστημα πλοήγησης (NAVI)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Ζάντες αλουμινίου (διαστάσεις)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Σύστημα ρύθμισης ταχύτητας (Cruise control)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Τηλέφωνο - εγκατάσταση</w:t>
            </w:r>
          </w:p>
          <w:p>
            <w:pPr>
              <w:spacing w:before="240"/>
              <w:rPr>
                <w:b w:val="0"/>
                <w:bCs w:val="0"/>
                <w:i w:val="0"/>
                <w:iCs w:val="0"/>
                <w:smallCaps w:val="0"/>
                <w:color w:val="000000"/>
                <w:lang w:val="el" w:eastAsia="el"/>
              </w:rPr>
            </w:pPr>
            <w:r>
              <w:rPr>
                <w:b w:val="0"/>
                <w:bCs w:val="0"/>
                <w:i w:val="0"/>
                <w:iCs w:val="0"/>
                <w:smallCaps w:val="0"/>
                <w:color w:val="000000"/>
                <w:lang w:val="el" w:eastAsia="el"/>
              </w:rPr>
              <w:t>τηλεφώνου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Καθρέπτες ηλεκτρικοί-</w:t>
            </w:r>
          </w:p>
          <w:p>
            <w:pPr>
              <w:spacing w:before="240"/>
              <w:rPr>
                <w:b w:val="0"/>
                <w:bCs w:val="0"/>
                <w:i w:val="0"/>
                <w:iCs w:val="0"/>
                <w:smallCaps w:val="0"/>
                <w:color w:val="000000"/>
                <w:lang w:val="el" w:eastAsia="el"/>
              </w:rPr>
            </w:pPr>
            <w:r>
              <w:rPr>
                <w:b w:val="0"/>
                <w:bCs w:val="0"/>
                <w:i w:val="0"/>
                <w:iCs w:val="0"/>
                <w:smallCaps w:val="0"/>
                <w:color w:val="000000"/>
                <w:lang w:val="el" w:eastAsia="el"/>
              </w:rPr>
              <w:t>θερμαινόμενοι-ανακλινόμενοι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Αντιμπλόκ διαφορικό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TV- DVD-ψυγείο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Υαλοκαθαριστήρες φανών-</w:t>
            </w:r>
          </w:p>
          <w:p>
            <w:pPr>
              <w:spacing w:before="240"/>
              <w:rPr>
                <w:b w:val="0"/>
                <w:bCs w:val="0"/>
                <w:i w:val="0"/>
                <w:iCs w:val="0"/>
                <w:smallCaps w:val="0"/>
                <w:color w:val="000000"/>
                <w:lang w:val="el" w:eastAsia="el"/>
              </w:rPr>
            </w:pPr>
            <w:r>
              <w:rPr>
                <w:b w:val="0"/>
                <w:bCs w:val="0"/>
                <w:i w:val="0"/>
                <w:iCs w:val="0"/>
                <w:smallCaps w:val="0"/>
                <w:color w:val="000000"/>
                <w:lang w:val="el" w:eastAsia="el"/>
              </w:rPr>
              <w:t>πλυστικό σύστημα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Ανάρτηση σπορ-αερανάρτηση,</w:t>
            </w:r>
          </w:p>
          <w:p>
            <w:pPr>
              <w:spacing w:before="240"/>
              <w:rPr>
                <w:b w:val="0"/>
                <w:bCs w:val="0"/>
                <w:i w:val="0"/>
                <w:iCs w:val="0"/>
                <w:smallCaps w:val="0"/>
                <w:color w:val="000000"/>
                <w:lang w:val="el" w:eastAsia="el"/>
              </w:rPr>
            </w:pPr>
            <w:r>
              <w:rPr>
                <w:b w:val="0"/>
                <w:bCs w:val="0"/>
                <w:i w:val="0"/>
                <w:iCs w:val="0"/>
                <w:smallCaps w:val="0"/>
                <w:color w:val="000000"/>
                <w:lang w:val="el" w:eastAsia="el"/>
              </w:rPr>
              <w:t>υδροπνευματική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Σύστημα παρκαρίσματος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Μεταλλικό χρώμα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Αυτόματο κιβώτιο-triptronic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Καθίσματα δερμάτινα - δερματίνη- σπορ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Κοτσαδόρος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Υδραυλικό τιμόνι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Κάθισμα οδηγού - συνοδηγού ρυθμιζόμενο καθ'ύψος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Αισθητήρες βροχής-φώτων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Τιμόνι πολλαπλών λειτουργιών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Καθίσματα με ορθοπεδική πλάτη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Προφυλακτήρες στο χρώμα του αυτοκινήτου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Τιμόνι ηλεκτρικά ρυθμιζόμενο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Κεντρικό κλείδωμα-χειριστήριο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Ράγες οροφής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Κίνηση στους 4 τροχούς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Διαιρούμενα πίσω καθίσματα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CABRIO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ΗΛΕΚΤΡΟΛΟΓΙΚΑ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Στηρίγματα υποβραχιόνιων εμπρός- πίσω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Μαλακή-σκληρή οροφή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Καθίσματα θερμαινόμενα εμπρός-πίσω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Σύστημα συναγερμού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Χειροκίνητη-ηλεκτρική οροφή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Ηλεκτρ/κή ρύθμιση καθισμάτων εμπρός - πίσω - μνήμη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Επένδυση ξύλινη - αλουμινίου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Σύστημα προστασίας ανατροπής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Κομπιούτερ ταξιδίου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Τιμόνι σπορ-δέρμα-ξύλο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Ανεμοθώρακας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Παράθυρα ηλεκτρικά εμπρός- πίσω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Έγχρωμοι υαλοπίνακες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ΕΠΙΠΛΕΟΝ ΜΗ</w:t>
            </w:r>
          </w:p>
          <w:p>
            <w:pPr>
              <w:spacing w:before="240"/>
              <w:rPr>
                <w:b w:val="0"/>
                <w:bCs w:val="0"/>
                <w:i w:val="0"/>
                <w:iCs w:val="0"/>
                <w:smallCaps w:val="0"/>
                <w:color w:val="000000"/>
                <w:lang w:val="el" w:eastAsia="el"/>
              </w:rPr>
            </w:pPr>
            <w:r>
              <w:rPr>
                <w:b/>
                <w:bCs/>
                <w:i w:val="0"/>
                <w:iCs w:val="0"/>
                <w:smallCaps w:val="0"/>
                <w:color w:val="000000"/>
                <w:lang w:val="el" w:eastAsia="el"/>
              </w:rPr>
              <w:t>ΑΝΑΓΡΑΦΟΜΕΝΟΣ ΕΞΟΠΛΙΣΜΟΣ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Προβολείς ομίχλης -xenon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Ηλεκτρικές κουρτίνες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Air condition- clima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Καθρέπτης-Αντιθαμβωτικός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ΕΣΩΤ/ΚΟΣ ΕΞΟΠΛΙΣΜΟΣ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Θήκη για σκι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Ραδιοκασετόφωνο-ράδιο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Αερόσακος οδηγού-συνοδηγού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Ονοματεπώνυμο/Επωνυμία, Α.Φ.Μ., διεύθυνση, τηλ. επικοινωνίας, δ/νση ηλ. ταχυδρομείου</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Ο/Η ΔΗΛ……</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 / </w:t>
            </w:r>
          </w:p>
          <w:p>
            <w:pPr>
              <w:spacing w:before="240"/>
              <w:rPr>
                <w:b w:val="0"/>
                <w:bCs w:val="0"/>
                <w:i w:val="0"/>
                <w:iCs w:val="0"/>
                <w:smallCaps w:val="0"/>
                <w:color w:val="000000"/>
                <w:lang w:val="el" w:eastAsia="el"/>
              </w:rPr>
            </w:pPr>
            <w:r>
              <w:rPr>
                <w:b/>
                <w:bCs/>
                <w:i w:val="0"/>
                <w:iCs w:val="0"/>
                <w:smallCaps w:val="0"/>
                <w:color w:val="000000"/>
                <w:lang w:val="el" w:eastAsia="el"/>
              </w:rPr>
              <w:t>Υπογραφή</w:t>
            </w:r>
          </w:p>
        </w:tc>
      </w:tr>
    </w:tbl>
    <w:p>
      <w:pPr>
        <w:pStyle w:val="Heading6"/>
        <w:spacing w:before="240" w:after="240"/>
        <w:rPr>
          <w:lang w:val="el" w:eastAsia="el"/>
        </w:rPr>
      </w:pPr>
      <w:r>
        <w:rPr>
          <w:b/>
          <w:bCs/>
          <w:u w:val="single"/>
          <w:lang w:val="el" w:eastAsia="el"/>
        </w:rPr>
        <w:t>Άρθρο 2</w:t>
      </w:r>
      <w:r>
        <w:rPr>
          <w:b/>
          <w:bCs/>
          <w:u w:val="single"/>
          <w:lang w:val="el" w:eastAsia="el"/>
        </w:rPr>
        <w:t xml:space="preserve"> </w:t>
      </w:r>
    </w:p>
    <w:p>
      <w:pPr>
        <w:pStyle w:val="Heading6"/>
        <w:spacing w:before="240" w:after="240"/>
        <w:rPr>
          <w:lang w:val="el" w:eastAsia="el"/>
        </w:rPr>
      </w:pPr>
      <w:r>
        <w:rPr>
          <w:b/>
          <w:bCs/>
          <w:u w:val="single"/>
          <w:lang w:val="el" w:eastAsia="el"/>
        </w:rPr>
        <w:t>Μεταβατικές διατάξεις</w:t>
      </w:r>
    </w:p>
    <w:p>
      <w:pPr>
        <w:spacing w:before="240" w:after="240"/>
        <w:rPr>
          <w:lang w:val="el" w:eastAsia="el"/>
        </w:rPr>
      </w:pPr>
      <w:r>
        <w:rPr>
          <w:b/>
          <w:bCs/>
          <w:u w:val="single"/>
          <w:lang w:val="el" w:eastAsia="el"/>
        </w:rPr>
        <w:t>H τροποποίηση της παρ. 2 του άρθρου 5 της Α. 1203/2019 απόφασης του Διοικητή της ΑΑΔΕ (Β΄1933), όπως εισάγεται με την παρ. 2 του άρθρου 1 της παρούσας και αφορά στις περιπτώσεις που δεν είναι δυνατή η χορήγηση της βεβαίωσης εξοπλισμού ισχύει για παραστατικά θέσης σε ανάλωση οχημάτων που υποβάλλονται μετά την 04.03.2025.</w:t>
      </w:r>
    </w:p>
    <w:p>
      <w:pPr>
        <w:pStyle w:val="Heading6"/>
        <w:spacing w:before="240" w:after="240"/>
        <w:rPr>
          <w:lang w:val="el" w:eastAsia="el"/>
        </w:rPr>
      </w:pPr>
      <w:r>
        <w:rPr>
          <w:b/>
          <w:bCs/>
          <w:u w:val="single"/>
          <w:lang w:val="el" w:eastAsia="el"/>
        </w:rPr>
        <w:t>Άρθρο 3</w:t>
      </w:r>
      <w:r>
        <w:rPr>
          <w:b/>
          <w:bCs/>
          <w:u w:val="single"/>
          <w:lang w:val="el" w:eastAsia="el"/>
        </w:rPr>
        <w:t xml:space="preserve"> </w:t>
      </w:r>
    </w:p>
    <w:p>
      <w:pPr>
        <w:pStyle w:val="Heading6"/>
        <w:spacing w:before="240" w:after="240"/>
        <w:rPr>
          <w:lang w:val="el" w:eastAsia="el"/>
        </w:rPr>
      </w:pPr>
      <w:r>
        <w:rPr>
          <w:b/>
          <w:bCs/>
          <w:u w:val="single"/>
          <w:lang w:val="el" w:eastAsia="el"/>
        </w:rPr>
        <w:t>Έναρξη ισχύος</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Η παρούσα απόφαση ισχύει από 17. 2.2025.</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Η παρούσα απόφαση να δημοσιευθεί στην Εφημερίδα της Κυβερνήσεως.</w:t>
      </w:r>
    </w:p>
    <w:p>
      <w:pPr>
        <w:spacing w:before="240" w:after="240"/>
        <w:rPr>
          <w:lang w:val="el" w:eastAsia="el"/>
        </w:rPr>
      </w:pPr>
      <w:r>
        <w:rPr>
          <w:b/>
          <w:bCs/>
          <w:u w:val="single"/>
          <w:lang w:val="el" w:eastAsia="el"/>
        </w:rPr>
        <w:t>Ο ΔΙΟΙΚΗΤΗΣ ΤΗΣ ΑΑΔΕ</w:t>
      </w:r>
    </w:p>
    <w:p>
      <w:pPr>
        <w:spacing w:before="240" w:after="240"/>
        <w:rPr>
          <w:lang w:val="el" w:eastAsia="el"/>
        </w:rPr>
      </w:pPr>
      <w:r>
        <w:rPr>
          <w:b/>
          <w:bCs/>
          <w:u w:val="single"/>
          <w:lang w:val="el" w:eastAsia="el"/>
        </w:rPr>
        <w:t>Γ.ΠΙΤΣΙΛΗΣ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Αποδέκτες για ενέργεια</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Εθνικό Τυπογραφείο (για δημοσίευση της παρούσας στην Εφημερίδα της Κυβερνήσεως)</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Αποδέκτες Πίνακα Δ΄</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Διεύθυνση Στρατηγικής Τεχνολογιών Πληροφορικής (ΔΙ.Σ.ΤΕ.ΠΛ) της Γ.Δ.ΗΛΕ.Δ. (για ενημέρωση της «Ηλεκτρονικής Βιβλιοθήκης και του portal της ΑΑΔΕ), email:</w:t>
      </w:r>
      <w:hyperlink r:id="rId21" w:history="1">
        <w:r>
          <w:rPr>
            <w:rStyle w:val="Hyperlink"/>
            <w:b/>
            <w:bCs/>
            <w:color w:val="0000EE"/>
            <w:u w:color="0000EE"/>
            <w:lang w:val="el" w:eastAsia="el"/>
          </w:rPr>
          <w:t>siteadmin@ aade .gr</w:t>
        </w:r>
      </w:hyperlink>
    </w:p>
    <w:p>
      <w:pPr>
        <w:spacing w:before="240" w:after="240"/>
        <w:rPr>
          <w:lang w:val="el" w:eastAsia="el"/>
        </w:rPr>
      </w:pPr>
      <w:r>
        <w:rPr>
          <w:b/>
          <w:bCs/>
          <w:u w:val="single"/>
          <w:lang w:val="el" w:eastAsia="el"/>
        </w:rPr>
        <w:t>Β. Αποδέκτες για κοινοποίηση</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Γραφείο κ. Υπουργού Εθνικής Οικονομίας και Οικονομικών</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Γραφείο κ. Υφυπουργού Εθνικής Οικονομίας και Οικονομικών</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Λοιποί Αποδέκτες Πίνακα Γ΄</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Υπηρεσία Ερευνών και Διασφάλισης Δημοσίων Εσόδων (Υ.Ε.Δ.Δ.Ε.)</w:t>
      </w:r>
    </w:p>
    <w:p>
      <w:pPr>
        <w:pStyle w:val="MainText"/>
        <w:spacing w:before="120" w:after="0"/>
        <w:rPr>
          <w:lang w:val="el" w:eastAsia="el"/>
        </w:rPr>
      </w:pPr>
      <w:r>
        <w:rPr>
          <w:b/>
          <w:bCs/>
          <w:u w:val="single"/>
          <w:lang w:val="el" w:eastAsia="el"/>
        </w:rPr>
        <w:t>5.</w:t>
      </w:r>
      <w:r>
        <w:rPr>
          <w:b/>
          <w:bCs/>
          <w:u w:val="single"/>
          <w:lang w:val="el" w:eastAsia="el"/>
        </w:rPr>
        <w:t xml:space="preserve"> </w:t>
      </w:r>
      <w:r>
        <w:rPr>
          <w:b/>
          <w:bCs/>
          <w:u w:val="single"/>
          <w:lang w:val="el" w:eastAsia="el"/>
        </w:rPr>
        <w:t>Δ/νση Εσωτερικού Ελέγχου</w:t>
      </w:r>
    </w:p>
    <w:p>
      <w:pPr>
        <w:pStyle w:val="MainText"/>
        <w:spacing w:before="120" w:after="0"/>
        <w:rPr>
          <w:lang w:val="el" w:eastAsia="el"/>
        </w:rPr>
      </w:pPr>
      <w:r>
        <w:rPr>
          <w:b/>
          <w:bCs/>
          <w:u w:val="single"/>
          <w:lang w:val="el" w:eastAsia="el"/>
        </w:rPr>
        <w:t>6.</w:t>
      </w:r>
      <w:r>
        <w:rPr>
          <w:b/>
          <w:bCs/>
          <w:u w:val="single"/>
          <w:lang w:val="el" w:eastAsia="el"/>
        </w:rPr>
        <w:t xml:space="preserve"> </w:t>
      </w:r>
      <w:r>
        <w:rPr>
          <w:b/>
          <w:bCs/>
          <w:u w:val="single"/>
          <w:lang w:val="el" w:eastAsia="el"/>
        </w:rPr>
        <w:t>Ελεγκτική Υπηρεσία Τελωνείων (ΕΛ.Υ.Τ.) Αττικής</w:t>
      </w:r>
    </w:p>
    <w:p>
      <w:pPr>
        <w:pStyle w:val="MainText"/>
        <w:spacing w:before="120" w:after="0"/>
        <w:rPr>
          <w:lang w:val="el" w:eastAsia="el"/>
        </w:rPr>
      </w:pPr>
      <w:r>
        <w:rPr>
          <w:b/>
          <w:bCs/>
          <w:u w:val="single"/>
          <w:lang w:val="el" w:eastAsia="el"/>
        </w:rPr>
        <w:t>7.</w:t>
      </w:r>
      <w:r>
        <w:rPr>
          <w:b/>
          <w:bCs/>
          <w:u w:val="single"/>
          <w:lang w:val="el" w:eastAsia="el"/>
        </w:rPr>
        <w:t xml:space="preserve"> </w:t>
      </w:r>
      <w:r>
        <w:rPr>
          <w:b/>
          <w:bCs/>
          <w:u w:val="single"/>
          <w:lang w:val="el" w:eastAsia="el"/>
        </w:rPr>
        <w:t>Ελεγκτική Υπηρεσία Τελωνείων (ΕΛ.Υ.Τ.) Θεσσαλονίκης</w:t>
      </w:r>
    </w:p>
    <w:p>
      <w:pPr>
        <w:pStyle w:val="MainText"/>
        <w:spacing w:before="120" w:after="0"/>
        <w:rPr>
          <w:lang w:val="el" w:eastAsia="el"/>
        </w:rPr>
      </w:pPr>
      <w:r>
        <w:rPr>
          <w:b/>
          <w:bCs/>
          <w:u w:val="single"/>
          <w:lang w:val="el" w:eastAsia="el"/>
        </w:rPr>
        <w:t>8.</w:t>
      </w:r>
      <w:r>
        <w:rPr>
          <w:b/>
          <w:bCs/>
          <w:u w:val="single"/>
          <w:lang w:val="el" w:eastAsia="el"/>
        </w:rPr>
        <w:t xml:space="preserve"> </w:t>
      </w:r>
      <w:r>
        <w:rPr>
          <w:b/>
          <w:bCs/>
          <w:u w:val="single"/>
          <w:lang w:val="el" w:eastAsia="el"/>
        </w:rPr>
        <w:t>Γενική Διεύθυνση Ανθρώπινου Δυναμικού και Οργάνωσης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Διεύθυνση Διαχείρισης Ανθρώπινου Δυναμικού β) Διεύθυνση Οργάνωσης</w:t>
      </w:r>
    </w:p>
    <w:p>
      <w:pPr>
        <w:pStyle w:val="MainText"/>
        <w:spacing w:before="120" w:after="0"/>
        <w:rPr>
          <w:lang w:val="el" w:eastAsia="el"/>
        </w:rPr>
      </w:pPr>
      <w:r>
        <w:rPr>
          <w:b/>
          <w:bCs/>
          <w:u w:val="single"/>
          <w:lang w:val="el" w:eastAsia="el"/>
        </w:rPr>
        <w:t>9.</w:t>
      </w:r>
      <w:r>
        <w:rPr>
          <w:b/>
          <w:bCs/>
          <w:u w:val="single"/>
          <w:lang w:val="el" w:eastAsia="el"/>
        </w:rPr>
        <w:t xml:space="preserve"> </w:t>
      </w:r>
      <w:r>
        <w:rPr>
          <w:b/>
          <w:bCs/>
          <w:u w:val="single"/>
          <w:lang w:val="el" w:eastAsia="el"/>
        </w:rPr>
        <w:t>Δ/νση Νομικής Υποστήριξης Α.Α.Δ.Ε.</w:t>
      </w:r>
    </w:p>
    <w:p>
      <w:pPr>
        <w:pStyle w:val="MainText"/>
        <w:spacing w:before="120" w:after="0"/>
        <w:rPr>
          <w:lang w:val="el" w:eastAsia="el"/>
        </w:rPr>
      </w:pPr>
      <w:r>
        <w:rPr>
          <w:b/>
          <w:bCs/>
          <w:u w:val="single"/>
          <w:lang w:val="el" w:eastAsia="el"/>
        </w:rPr>
        <w:t>10.</w:t>
      </w:r>
      <w:r>
        <w:rPr>
          <w:b/>
          <w:bCs/>
          <w:u w:val="single"/>
          <w:lang w:val="el" w:eastAsia="el"/>
        </w:rPr>
        <w:t xml:space="preserve"> </w:t>
      </w:r>
      <w:r>
        <w:rPr>
          <w:b/>
          <w:bCs/>
          <w:u w:val="single"/>
          <w:lang w:val="el" w:eastAsia="el"/>
        </w:rPr>
        <w:t>Διεύθυνση Επικοινωνίας</w:t>
      </w:r>
    </w:p>
    <w:p>
      <w:pPr>
        <w:pStyle w:val="MainText"/>
        <w:spacing w:before="120" w:after="0"/>
        <w:rPr>
          <w:lang w:val="el" w:eastAsia="el"/>
        </w:rPr>
      </w:pPr>
      <w:r>
        <w:rPr>
          <w:b/>
          <w:bCs/>
          <w:u w:val="single"/>
          <w:lang w:val="el" w:eastAsia="el"/>
        </w:rPr>
        <w:t>11.</w:t>
      </w:r>
      <w:r>
        <w:rPr>
          <w:b/>
          <w:bCs/>
          <w:u w:val="single"/>
          <w:lang w:val="el" w:eastAsia="el"/>
        </w:rPr>
        <w:t xml:space="preserve"> </w:t>
      </w:r>
      <w:r>
        <w:rPr>
          <w:b/>
          <w:bCs/>
          <w:u w:val="single"/>
          <w:lang w:val="el" w:eastAsia="el"/>
        </w:rPr>
        <w:t>Δ/νση Εφαρμογής Έμμεσης Φορολογίας Τμήμα Β’ Τελών και Ειδικών ορολογιών</w:t>
      </w:r>
    </w:p>
    <w:p>
      <w:pPr>
        <w:pStyle w:val="MainText"/>
        <w:spacing w:before="120" w:after="0"/>
        <w:rPr>
          <w:lang w:val="el" w:eastAsia="el"/>
        </w:rPr>
      </w:pPr>
      <w:r>
        <w:rPr>
          <w:b/>
          <w:bCs/>
          <w:u w:val="single"/>
          <w:lang w:val="el" w:eastAsia="el"/>
        </w:rPr>
        <w:t>12.</w:t>
      </w:r>
      <w:r>
        <w:rPr>
          <w:b/>
          <w:bCs/>
          <w:u w:val="single"/>
          <w:lang w:val="el" w:eastAsia="el"/>
        </w:rPr>
        <w:t xml:space="preserve"> </w:t>
      </w:r>
      <w:r>
        <w:rPr>
          <w:b/>
          <w:bCs/>
          <w:u w:val="single"/>
          <w:lang w:val="el" w:eastAsia="el"/>
        </w:rPr>
        <w:t>Υπουργείο Υποδομών και Μεταφορών</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Γενική Δ/νση Μεταφορών Δ/νση Επιβατικών Μεταφορών (Δ32)</w:t>
      </w:r>
    </w:p>
    <w:p>
      <w:pPr>
        <w:spacing w:before="240" w:after="240"/>
        <w:rPr>
          <w:lang w:val="el" w:eastAsia="el"/>
        </w:rPr>
      </w:pPr>
      <w:r>
        <w:rPr>
          <w:b/>
          <w:bCs/>
          <w:u w:val="single"/>
          <w:lang w:val="el" w:eastAsia="el"/>
        </w:rPr>
        <w:t>Αναστάσεως 2 &amp; Τσιγάντε, Τ.Κ.101 91 Παπάγου</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Γενική Δ/νση Διοικητικών Υπηρεσιών Δ/νση Διοικητικής Οργάνωσης (Δ6)</w:t>
      </w:r>
    </w:p>
    <w:p>
      <w:pPr>
        <w:spacing w:before="240" w:after="240"/>
        <w:rPr>
          <w:lang w:val="el" w:eastAsia="el"/>
        </w:rPr>
      </w:pPr>
      <w:r>
        <w:rPr>
          <w:b/>
          <w:bCs/>
          <w:u w:val="single"/>
          <w:lang w:val="el" w:eastAsia="el"/>
        </w:rPr>
        <w:t>Χαριλάου Τρικούπη 182,Τ.Κ.101 78</w:t>
      </w:r>
    </w:p>
    <w:p>
      <w:pPr>
        <w:pStyle w:val="MainText"/>
        <w:spacing w:before="120" w:after="0"/>
        <w:rPr>
          <w:lang w:val="el" w:eastAsia="el"/>
        </w:rPr>
      </w:pPr>
      <w:r>
        <w:rPr>
          <w:b/>
          <w:bCs/>
          <w:u w:val="single"/>
          <w:lang w:val="el" w:eastAsia="el"/>
        </w:rPr>
        <w:t>13.</w:t>
      </w:r>
      <w:r>
        <w:rPr>
          <w:b/>
          <w:bCs/>
          <w:u w:val="single"/>
          <w:lang w:val="el" w:eastAsia="el"/>
        </w:rPr>
        <w:t xml:space="preserve"> </w:t>
      </w:r>
      <w:r>
        <w:rPr>
          <w:b/>
          <w:bCs/>
          <w:u w:val="single"/>
          <w:lang w:val="el" w:eastAsia="el"/>
        </w:rPr>
        <w:t>Ομοσπονδία Εκτελωνιστών Ελλάδας</w:t>
      </w:r>
    </w:p>
    <w:p>
      <w:pPr>
        <w:spacing w:before="240" w:after="240"/>
        <w:rPr>
          <w:lang w:val="el" w:eastAsia="el"/>
        </w:rPr>
      </w:pPr>
      <w:r>
        <w:rPr>
          <w:b/>
          <w:bCs/>
          <w:u w:val="single"/>
          <w:lang w:val="el" w:eastAsia="el"/>
        </w:rPr>
        <w:t>Τσαμαδού 38 - Τ.Κ. 18531, Πειραιάς</w:t>
      </w:r>
    </w:p>
    <w:p>
      <w:pPr>
        <w:pStyle w:val="MainText"/>
        <w:spacing w:before="120" w:after="0"/>
        <w:rPr>
          <w:lang w:val="el" w:eastAsia="el"/>
        </w:rPr>
      </w:pPr>
      <w:r>
        <w:rPr>
          <w:b/>
          <w:bCs/>
          <w:u w:val="single"/>
          <w:lang w:val="el" w:eastAsia="el"/>
        </w:rPr>
        <w:t>14.</w:t>
      </w:r>
      <w:r>
        <w:rPr>
          <w:b/>
          <w:bCs/>
          <w:u w:val="single"/>
          <w:lang w:val="el" w:eastAsia="el"/>
        </w:rPr>
        <w:t xml:space="preserve"> </w:t>
      </w:r>
      <w:r>
        <w:rPr>
          <w:b/>
          <w:bCs/>
          <w:u w:val="single"/>
          <w:lang w:val="el" w:eastAsia="el"/>
        </w:rPr>
        <w:t>Σύλλογος Εκτελωνιστών, Αθήνας – Πειραιά</w:t>
      </w:r>
    </w:p>
    <w:p>
      <w:pPr>
        <w:spacing w:before="240" w:after="240"/>
        <w:rPr>
          <w:lang w:val="el" w:eastAsia="el"/>
        </w:rPr>
      </w:pPr>
      <w:r>
        <w:rPr>
          <w:b/>
          <w:bCs/>
          <w:u w:val="single"/>
          <w:lang w:val="el" w:eastAsia="el"/>
        </w:rPr>
        <w:t>Τσαμαδού 38 - Τ. Κ. 18531, Πειραιάς</w:t>
      </w:r>
    </w:p>
    <w:p>
      <w:pPr>
        <w:pStyle w:val="MainText"/>
        <w:spacing w:before="120" w:after="0"/>
        <w:rPr>
          <w:lang w:val="el" w:eastAsia="el"/>
        </w:rPr>
      </w:pPr>
      <w:r>
        <w:rPr>
          <w:b/>
          <w:bCs/>
          <w:u w:val="single"/>
          <w:lang w:val="el" w:eastAsia="el"/>
        </w:rPr>
        <w:t>15.</w:t>
      </w:r>
      <w:r>
        <w:rPr>
          <w:b/>
          <w:bCs/>
          <w:u w:val="single"/>
          <w:lang w:val="el" w:eastAsia="el"/>
        </w:rPr>
        <w:t xml:space="preserve"> </w:t>
      </w:r>
      <w:r>
        <w:rPr>
          <w:b/>
          <w:bCs/>
          <w:u w:val="single"/>
          <w:lang w:val="el" w:eastAsia="el"/>
        </w:rPr>
        <w:t>Σύλλογος Εκτελωνιστών Θεσσαλονίκης</w:t>
      </w:r>
    </w:p>
    <w:p>
      <w:pPr>
        <w:spacing w:before="240" w:after="240"/>
        <w:rPr>
          <w:lang w:val="el" w:eastAsia="el"/>
        </w:rPr>
      </w:pPr>
      <w:r>
        <w:rPr>
          <w:b/>
          <w:bCs/>
          <w:u w:val="single"/>
          <w:lang w:val="el" w:eastAsia="el"/>
        </w:rPr>
        <w:t>Κουντουριώτου 13 - Τ.Κ. 54626, Θεσσαλονίκη</w:t>
      </w:r>
    </w:p>
    <w:p>
      <w:pPr>
        <w:pStyle w:val="MainText"/>
        <w:spacing w:before="120" w:after="0"/>
        <w:rPr>
          <w:lang w:val="el" w:eastAsia="el"/>
        </w:rPr>
      </w:pPr>
      <w:r>
        <w:rPr>
          <w:b/>
          <w:bCs/>
          <w:u w:val="single"/>
          <w:lang w:val="el" w:eastAsia="el"/>
        </w:rPr>
        <w:t>16.</w:t>
      </w:r>
      <w:r>
        <w:rPr>
          <w:b/>
          <w:bCs/>
          <w:u w:val="single"/>
          <w:lang w:val="el" w:eastAsia="el"/>
        </w:rPr>
        <w:t xml:space="preserve"> </w:t>
      </w:r>
      <w:r>
        <w:rPr>
          <w:b/>
          <w:bCs/>
          <w:u w:val="single"/>
          <w:lang w:val="el" w:eastAsia="el"/>
        </w:rPr>
        <w:t>Γενική Γραμματεία Εθνικής Στατιστικής Υπηρεσίας Δ/νση Οικονομικών και Βραχυπρόθεσμων Δεικτών Πειραιώς 46 &amp; Επονιτών - Τ.Κ. 18510 Πειραιάς</w:t>
      </w:r>
    </w:p>
    <w:p>
      <w:pPr>
        <w:pStyle w:val="MainText"/>
        <w:spacing w:before="120" w:after="0"/>
        <w:rPr>
          <w:lang w:val="el" w:eastAsia="el"/>
        </w:rPr>
      </w:pPr>
      <w:r>
        <w:rPr>
          <w:b/>
          <w:bCs/>
          <w:u w:val="single"/>
          <w:lang w:val="el" w:eastAsia="el"/>
        </w:rPr>
        <w:t>17.</w:t>
      </w:r>
      <w:r>
        <w:rPr>
          <w:b/>
          <w:bCs/>
          <w:u w:val="single"/>
          <w:lang w:val="el" w:eastAsia="el"/>
        </w:rPr>
        <w:t xml:space="preserve"> </w:t>
      </w:r>
      <w:r>
        <w:rPr>
          <w:b/>
          <w:bCs/>
          <w:u w:val="single"/>
          <w:lang w:val="el" w:eastAsia="el"/>
        </w:rPr>
        <w:t>Σύνδεσμος Εισαγωγέων - Εμπόρων Μεταχειρισμένων Αυτοκινήτων - Μηχανημάτων &amp; Ανταλλακτικών Βάκχου 5,Τ.Κ. 546 29 Θεσσαλονίκη</w:t>
      </w:r>
    </w:p>
    <w:p>
      <w:pPr>
        <w:pStyle w:val="MainText"/>
        <w:spacing w:before="120" w:after="0"/>
        <w:rPr>
          <w:lang w:val="el" w:eastAsia="el"/>
        </w:rPr>
      </w:pPr>
      <w:r>
        <w:rPr>
          <w:b/>
          <w:bCs/>
          <w:u w:val="single"/>
          <w:lang w:val="el" w:eastAsia="el"/>
        </w:rPr>
        <w:t>18.</w:t>
      </w:r>
      <w:r>
        <w:rPr>
          <w:b/>
          <w:bCs/>
          <w:u w:val="single"/>
          <w:lang w:val="el" w:eastAsia="el"/>
        </w:rPr>
        <w:t xml:space="preserve"> </w:t>
      </w:r>
      <w:r>
        <w:rPr>
          <w:b/>
          <w:bCs/>
          <w:u w:val="single"/>
          <w:lang w:val="el" w:eastAsia="el"/>
        </w:rPr>
        <w:t>Σύνδεσμος Εισαγωγέων - Αντιπροσώπων Αυτοκινήτων</w:t>
      </w:r>
    </w:p>
    <w:p>
      <w:pPr>
        <w:spacing w:before="240" w:after="240"/>
        <w:rPr>
          <w:lang w:val="el" w:eastAsia="el"/>
        </w:rPr>
      </w:pPr>
      <w:r>
        <w:rPr>
          <w:b/>
          <w:bCs/>
          <w:u w:val="single"/>
          <w:lang w:val="el" w:eastAsia="el"/>
        </w:rPr>
        <w:t>Λεωφ. Κηφισίας 296, Τ.Κ.152 32 Χαλάνδρι</w:t>
      </w:r>
    </w:p>
    <w:p>
      <w:pPr>
        <w:pStyle w:val="MainText"/>
        <w:spacing w:before="120" w:after="0"/>
        <w:rPr>
          <w:lang w:val="el" w:eastAsia="el"/>
        </w:rPr>
      </w:pPr>
      <w:r>
        <w:rPr>
          <w:b/>
          <w:bCs/>
          <w:u w:val="single"/>
          <w:lang w:val="el" w:eastAsia="el"/>
        </w:rPr>
        <w:t>19.</w:t>
      </w:r>
      <w:r>
        <w:rPr>
          <w:b/>
          <w:bCs/>
          <w:u w:val="single"/>
          <w:lang w:val="el" w:eastAsia="el"/>
        </w:rPr>
        <w:t xml:space="preserve"> </w:t>
      </w:r>
      <w:r>
        <w:rPr>
          <w:b/>
          <w:bCs/>
          <w:u w:val="single"/>
          <w:lang w:val="el" w:eastAsia="el"/>
        </w:rPr>
        <w:t>Σύνδεσμος Εμπόρων Εισαγωγέων αυτοκινήτων Ελλάδος</w:t>
      </w:r>
    </w:p>
    <w:p>
      <w:pPr>
        <w:spacing w:before="240" w:after="240"/>
        <w:rPr>
          <w:lang w:val="el" w:eastAsia="el"/>
        </w:rPr>
      </w:pPr>
      <w:r>
        <w:rPr>
          <w:b/>
          <w:bCs/>
          <w:u w:val="single"/>
          <w:lang w:val="el" w:eastAsia="el"/>
        </w:rPr>
        <w:t>Ελ. Βενιζέλου 248,Τ.Κ. 176 75 Καλλιθέα</w:t>
      </w:r>
    </w:p>
    <w:p>
      <w:pPr>
        <w:pStyle w:val="MainText"/>
        <w:spacing w:before="120" w:after="0"/>
        <w:rPr>
          <w:lang w:val="el" w:eastAsia="el"/>
        </w:rPr>
      </w:pPr>
      <w:r>
        <w:rPr>
          <w:b/>
          <w:bCs/>
          <w:u w:val="single"/>
          <w:lang w:val="el" w:eastAsia="el"/>
        </w:rPr>
        <w:t>20.</w:t>
      </w:r>
      <w:r>
        <w:rPr>
          <w:b/>
          <w:bCs/>
          <w:u w:val="single"/>
          <w:lang w:val="el" w:eastAsia="el"/>
        </w:rPr>
        <w:t xml:space="preserve"> </w:t>
      </w:r>
      <w:r>
        <w:rPr>
          <w:b/>
          <w:bCs/>
          <w:u w:val="single"/>
          <w:lang w:val="el" w:eastAsia="el"/>
        </w:rPr>
        <w:t>Πανελλήνια Ομοσπονδία ΤΑΞΙ &amp; Αγοραίων</w:t>
      </w:r>
    </w:p>
    <w:p>
      <w:pPr>
        <w:spacing w:before="240" w:after="240"/>
        <w:rPr>
          <w:lang w:val="el" w:eastAsia="el"/>
        </w:rPr>
      </w:pPr>
      <w:r>
        <w:rPr>
          <w:b/>
          <w:bCs/>
          <w:u w:val="single"/>
          <w:lang w:val="el" w:eastAsia="el"/>
        </w:rPr>
        <w:t>Πειραιώς 4,Τ.Κ. 104 31 Αθήνα</w:t>
      </w:r>
    </w:p>
    <w:p>
      <w:pPr>
        <w:pStyle w:val="MainText"/>
        <w:spacing w:before="120" w:after="0"/>
        <w:rPr>
          <w:lang w:val="el" w:eastAsia="el"/>
        </w:rPr>
      </w:pPr>
      <w:r>
        <w:rPr>
          <w:b/>
          <w:bCs/>
          <w:u w:val="single"/>
          <w:lang w:val="el" w:eastAsia="el"/>
        </w:rPr>
        <w:t>21.</w:t>
      </w:r>
      <w:r>
        <w:rPr>
          <w:b/>
          <w:bCs/>
          <w:u w:val="single"/>
          <w:lang w:val="el" w:eastAsia="el"/>
        </w:rPr>
        <w:t xml:space="preserve"> </w:t>
      </w:r>
      <w:r>
        <w:rPr>
          <w:b/>
          <w:bCs/>
          <w:u w:val="single"/>
          <w:lang w:val="el" w:eastAsia="el"/>
        </w:rPr>
        <w:t>Συνδικάτο Αυτοκινητιστών ταξί Αττικής (Σ.Α.Τ.Α.)</w:t>
      </w:r>
    </w:p>
    <w:p>
      <w:pPr>
        <w:spacing w:before="240" w:after="240"/>
        <w:rPr>
          <w:lang w:val="el" w:eastAsia="el"/>
        </w:rPr>
      </w:pPr>
      <w:r>
        <w:rPr>
          <w:b/>
          <w:bCs/>
          <w:u w:val="single"/>
          <w:lang w:val="el" w:eastAsia="el"/>
        </w:rPr>
        <w:t>Μάρνη 17, Τ.Κ.104 33 Αθήνα</w:t>
      </w:r>
    </w:p>
    <w:p>
      <w:pPr>
        <w:pStyle w:val="MainText"/>
        <w:spacing w:before="120" w:after="0"/>
        <w:rPr>
          <w:lang w:val="el" w:eastAsia="el"/>
        </w:rPr>
      </w:pPr>
      <w:r>
        <w:rPr>
          <w:b/>
          <w:bCs/>
          <w:u w:val="single"/>
          <w:lang w:val="el" w:eastAsia="el"/>
        </w:rPr>
        <w:t>22.</w:t>
      </w:r>
      <w:r>
        <w:rPr>
          <w:b/>
          <w:bCs/>
          <w:u w:val="single"/>
          <w:lang w:val="el" w:eastAsia="el"/>
        </w:rPr>
        <w:t xml:space="preserve"> </w:t>
      </w:r>
      <w:r>
        <w:rPr>
          <w:b/>
          <w:bCs/>
          <w:u w:val="single"/>
          <w:lang w:val="el" w:eastAsia="el"/>
        </w:rPr>
        <w:t>Ένωση Εισαγωγέων Μεταχειρισμένων Ανταλλακτικών Αυτοκινήτων Αθηνών, Πειραιώς και Περιχώρων (Ε.Ε.Μ.Α.Α.)</w:t>
      </w:r>
    </w:p>
    <w:p>
      <w:pPr>
        <w:spacing w:before="240" w:after="240"/>
        <w:rPr>
          <w:lang w:val="el" w:eastAsia="el"/>
        </w:rPr>
      </w:pPr>
      <w:r>
        <w:rPr>
          <w:b/>
          <w:bCs/>
          <w:u w:val="single"/>
          <w:lang w:val="el" w:eastAsia="el"/>
        </w:rPr>
        <w:t>Κασσάνδρας 15, Τ.Κ.104 47 Αθήνα</w:t>
      </w:r>
    </w:p>
    <w:p>
      <w:pPr>
        <w:pStyle w:val="MainText"/>
        <w:spacing w:before="120" w:after="0"/>
        <w:rPr>
          <w:lang w:val="el" w:eastAsia="el"/>
        </w:rPr>
      </w:pPr>
      <w:r>
        <w:rPr>
          <w:b/>
          <w:bCs/>
          <w:u w:val="single"/>
          <w:lang w:val="el" w:eastAsia="el"/>
        </w:rPr>
        <w:t>23.</w:t>
      </w:r>
      <w:r>
        <w:rPr>
          <w:b/>
          <w:bCs/>
          <w:u w:val="single"/>
          <w:lang w:val="el" w:eastAsia="el"/>
        </w:rPr>
        <w:t xml:space="preserve"> </w:t>
      </w:r>
      <w:r>
        <w:rPr>
          <w:b/>
          <w:bCs/>
          <w:u w:val="single"/>
          <w:lang w:val="el" w:eastAsia="el"/>
        </w:rPr>
        <w:t>Σύνδεσμος Τουριστικών Επιχειρήσεων Ενοικιάσεως Αυτοκινήτων</w:t>
      </w:r>
    </w:p>
    <w:p>
      <w:pPr>
        <w:spacing w:before="240" w:after="240"/>
        <w:rPr>
          <w:lang w:val="el" w:eastAsia="el"/>
        </w:rPr>
      </w:pPr>
      <w:r>
        <w:rPr>
          <w:b/>
          <w:bCs/>
          <w:u w:val="single"/>
          <w:lang w:val="el" w:eastAsia="el"/>
        </w:rPr>
        <w:t>Λεωφόρου Λαυρίου 21, Γλυκά Νερά,( e-mail:</w:t>
      </w:r>
      <w:hyperlink r:id="rId22" w:history="1">
        <w:r>
          <w:rPr>
            <w:rStyle w:val="Hyperlink"/>
            <w:b/>
            <w:bCs/>
            <w:color w:val="0000EE"/>
            <w:u w:color="0000EE"/>
            <w:lang w:val="el" w:eastAsia="el"/>
          </w:rPr>
          <w:t>steea @ steea .gr</w:t>
        </w:r>
      </w:hyperlink>
      <w:r>
        <w:rPr>
          <w:b/>
          <w:bCs/>
          <w:u w:val="single"/>
          <w:lang w:val="el" w:eastAsia="el"/>
        </w:rPr>
        <w:t>)</w:t>
      </w:r>
    </w:p>
    <w:p>
      <w:pPr>
        <w:pStyle w:val="MainText"/>
        <w:spacing w:before="120" w:after="0"/>
        <w:rPr>
          <w:lang w:val="el" w:eastAsia="el"/>
        </w:rPr>
      </w:pPr>
      <w:r>
        <w:rPr>
          <w:b/>
          <w:bCs/>
          <w:u w:val="single"/>
          <w:lang w:val="el" w:eastAsia="el"/>
        </w:rPr>
        <w:t>24.</w:t>
      </w:r>
      <w:r>
        <w:rPr>
          <w:b/>
          <w:bCs/>
          <w:u w:val="single"/>
          <w:lang w:val="el" w:eastAsia="el"/>
        </w:rPr>
        <w:t xml:space="preserve"> </w:t>
      </w:r>
      <w:r>
        <w:rPr>
          <w:b/>
          <w:bCs/>
          <w:u w:val="single"/>
          <w:lang w:val="el" w:eastAsia="el"/>
        </w:rPr>
        <w:t>Ένωση Ελληνικών Εταιριών Χρηματοδοτικής Μίσθωσης Λ. Αθηνών 128 – 132 και Ιφιγένειας, Τ.Κ.104 42</w:t>
      </w:r>
    </w:p>
    <w:p>
      <w:pPr>
        <w:spacing w:before="240" w:after="240"/>
        <w:rPr>
          <w:lang w:val="el" w:eastAsia="el"/>
        </w:rPr>
      </w:pPr>
      <w:r>
        <w:rPr>
          <w:b/>
          <w:bCs/>
          <w:u w:val="single"/>
          <w:lang w:val="el" w:eastAsia="el"/>
        </w:rPr>
        <w:t>Αθήνα (email:</w:t>
      </w:r>
      <w:hyperlink r:id="rId23" w:history="1">
        <w:r>
          <w:rPr>
            <w:rStyle w:val="Hyperlink"/>
            <w:b/>
            <w:bCs/>
            <w:color w:val="0000EE"/>
            <w:u w:color="0000EE"/>
            <w:lang w:val="el" w:eastAsia="el"/>
          </w:rPr>
          <w:t>a.panoriou@nbgleasing.gr</w:t>
        </w:r>
      </w:hyperlink>
      <w:r>
        <w:rPr>
          <w:b/>
          <w:bCs/>
          <w:u w:val="single"/>
          <w:lang w:val="el" w:eastAsia="el"/>
        </w:rPr>
        <w:t>)</w:t>
      </w:r>
    </w:p>
    <w:p>
      <w:pPr>
        <w:spacing w:before="240" w:after="240"/>
        <w:rPr>
          <w:lang w:val="el" w:eastAsia="el"/>
        </w:rPr>
      </w:pPr>
      <w:r>
        <w:rPr>
          <w:b/>
          <w:bCs/>
          <w:u w:val="single"/>
          <w:lang w:val="el" w:eastAsia="el"/>
        </w:rPr>
        <w:t>Γ. Εσωτερική Διανομή</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Γραφείο κ. Διοικητή ΑΑΔΕ</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Γενική Διεύθυνση Τελωνείων &amp; Ε.Φ.Κ.</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Αυτοτελές Τμήμα Υποστήριξης Γενικής Διεύθυνσης Τελωνείων και Ε.Φ.Κ.</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Δ/νση Ε.Φ.Κ. &amp; Φ.Π.Α. - Τμήματα Α΄, Β΄, Γ΄ Δ΄, Ε΄</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Δ/νση Στρατηγικής Τελωνειακών Ελέγχων και Παραβάσεων</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Δ/νση Τελωνειακών Διαδικασιών</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Δ/νση Δασμολογικών Θεμάτων, Ειδικών Καθεστώτων και Απαλλαγών</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Διεύθυνση Ανάπτυξης Τελωνειακών, Ελεγκτικών και Επιχειρησιακών Εφαρμογών Υποδ/νση Τελωνειακών Εφαρμογών</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Γενική Διεύθυνση Ηλεκτρονικής Διακυβέρνησης</w:t>
      </w:r>
    </w:p>
    <w:p>
      <w:pPr>
        <w:pStyle w:val="MainText"/>
        <w:spacing w:before="120" w:after="0"/>
        <w:rPr>
          <w:lang w:val="el" w:eastAsia="el"/>
        </w:rPr>
      </w:pPr>
      <w:r>
        <w:rPr>
          <w:b/>
          <w:bCs/>
          <w:u w:val="single"/>
          <w:lang w:val="el" w:eastAsia="el"/>
        </w:rPr>
        <w:t>5.</w:t>
      </w:r>
      <w:r>
        <w:rPr>
          <w:b/>
          <w:bCs/>
          <w:u w:val="single"/>
          <w:lang w:val="el" w:eastAsia="el"/>
        </w:rPr>
        <w:t xml:space="preserve"> </w:t>
      </w:r>
      <w:r>
        <w:rPr>
          <w:b/>
          <w:bCs/>
          <w:u w:val="single"/>
          <w:lang w:val="el" w:eastAsia="el"/>
        </w:rPr>
        <w:t>Διεύθυνση Επιχειρησιακών διαδικασιών</w:t>
      </w:r>
    </w:p>
    <w:p>
      <w:pPr>
        <w:spacing w:before="240" w:after="240"/>
        <w:rPr>
          <w:lang w:val="el" w:eastAsia="el"/>
        </w:rPr>
      </w:pPr>
      <w:r>
        <w:rPr>
          <w:b/>
          <w:bCs/>
          <w:u w:val="single"/>
          <w:lang w:val="el" w:eastAsia="el"/>
        </w:rPr>
        <w:t>Υποδιεύθυνση Β΄- Απαιτήσεων και Ελέγχου Εφαρμογών Τελωνείων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omotelia.gr/nservice22/document?documentId=207407&amp;partId=934347" TargetMode="External" /><Relationship Id="rId11" Type="http://schemas.openxmlformats.org/officeDocument/2006/relationships/hyperlink" Target="https://www.nomotelia.gr/nservice22/document?documentId=207407" TargetMode="External" /><Relationship Id="rId12" Type="http://schemas.openxmlformats.org/officeDocument/2006/relationships/hyperlink" Target="https://www.nomotelia.gr/nservice22/document?documentId=207407&amp;partId=934347" TargetMode="External" /><Relationship Id="rId13" Type="http://schemas.openxmlformats.org/officeDocument/2006/relationships/hyperlink" Target="https://www.nomotelia.gr/nservice22/document?documentId=207407" TargetMode="External" /><Relationship Id="rId14" Type="http://schemas.openxmlformats.org/officeDocument/2006/relationships/hyperlink" Target="https://www.nomotelia.gr/nservice22/document?documentId=207407&amp;partId=934347" TargetMode="External" /><Relationship Id="rId15" Type="http://schemas.openxmlformats.org/officeDocument/2006/relationships/hyperlink" Target="https://www.nomotelia.gr/nservice22/document?documentId=207407&amp;partId=934348" TargetMode="External" /><Relationship Id="rId16" Type="http://schemas.openxmlformats.org/officeDocument/2006/relationships/hyperlink" Target="https://www.nomotelia.gr/nservice22/document?documentId=207407" TargetMode="External" /><Relationship Id="rId17" Type="http://schemas.openxmlformats.org/officeDocument/2006/relationships/hyperlink" Target="https://www.nomotelia.gr/nservice22/document?documentId=207407&amp;partId=934347" TargetMode="External" /><Relationship Id="rId18" Type="http://schemas.openxmlformats.org/officeDocument/2006/relationships/hyperlink" Target="https://www.nomotelia.gr/nservice22/document?documentId=207407" TargetMode="External" /><Relationship Id="rId19" Type="http://schemas.openxmlformats.org/officeDocument/2006/relationships/hyperlink" Target="https://www.nomotelia.gr/nservice22/document?documentId=207407&amp;partId=934348" TargetMode="External" /><Relationship Id="rId2" Type="http://schemas.openxmlformats.org/officeDocument/2006/relationships/webSettings" Target="webSettings.xml" /><Relationship Id="rId20" Type="http://schemas.openxmlformats.org/officeDocument/2006/relationships/hyperlink" Target="https://www.nomotelia.gr/nservice22/document?documentId=207407" TargetMode="External" /><Relationship Id="rId21" Type="http://schemas.openxmlformats.org/officeDocument/2006/relationships/hyperlink" Target="mailto:siteadmin@aade.gr" TargetMode="External" /><Relationship Id="rId22" Type="http://schemas.openxmlformats.org/officeDocument/2006/relationships/hyperlink" Target="mailto:steea@steea.gr" TargetMode="External" /><Relationship Id="rId23" Type="http://schemas.openxmlformats.org/officeDocument/2006/relationships/hyperlink" Target="mailto:a.panoriou@nbgleasing.gr" TargetMode="Externa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nomotelia.gr/nservice22/document?documentId=5889" TargetMode="External" /><Relationship Id="rId5" Type="http://schemas.openxmlformats.org/officeDocument/2006/relationships/hyperlink" Target="https://www.nomotelia.gr/nservice22/document?documentId=207407&amp;partId=934350" TargetMode="External" /><Relationship Id="rId6" Type="http://schemas.openxmlformats.org/officeDocument/2006/relationships/hyperlink" Target="https://www.nomotelia.gr/nservice22/document?documentId=207407" TargetMode="External" /><Relationship Id="rId7" Type="http://schemas.openxmlformats.org/officeDocument/2006/relationships/hyperlink" Target="https://www.nomotelia.gr/nservice22/document?documentId=207407&amp;partId=934347" TargetMode="External" /><Relationship Id="rId8" Type="http://schemas.openxmlformats.org/officeDocument/2006/relationships/hyperlink" Target="https://www.nomotelia.gr/nservice22/document?documentId=207407" TargetMode="External" /><Relationship Id="rId9" Type="http://schemas.openxmlformats.org/officeDocument/2006/relationships/hyperlink" Target="https://www.nomotelia.gr/nservice22/document?documentId=20740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