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Αριθ. ΦΕΚ: Β’ 866/26.2.2025</w:t>
      </w:r>
    </w:p>
    <w:p>
      <w:pPr>
        <w:pStyle w:val="PreambelText"/>
        <w:spacing w:before="240" w:after="240"/>
        <w:rPr>
          <w:lang w:val="el" w:eastAsia="el"/>
        </w:rPr>
      </w:pPr>
      <w:r>
        <w:rPr>
          <w:b/>
          <w:bCs/>
          <w:lang w:val="el" w:eastAsia="el"/>
        </w:rPr>
        <w:t>Αθήνα, 7 Φεβρουαρίου 2025</w:t>
      </w:r>
    </w:p>
    <w:p>
      <w:pPr>
        <w:pStyle w:val="PreambelText"/>
        <w:spacing w:before="240" w:after="240"/>
        <w:rPr>
          <w:lang w:val="el" w:eastAsia="el"/>
        </w:rPr>
      </w:pPr>
      <w:r>
        <w:rPr>
          <w:b/>
          <w:bCs/>
          <w:lang w:val="el" w:eastAsia="el"/>
        </w:rPr>
        <w:t>Α.1027</w:t>
      </w:r>
    </w:p>
    <w:p>
      <w:pPr>
        <w:pStyle w:val="PreambelText"/>
        <w:spacing w:before="240" w:after="240"/>
        <w:rPr>
          <w:lang w:val="el" w:eastAsia="el"/>
        </w:rPr>
      </w:pPr>
      <w:r>
        <w:rPr>
          <w:b/>
          <w:bCs/>
          <w:lang w:val="el" w:eastAsia="el"/>
        </w:rPr>
        <w:t>Α) ΓΕΝΙΚΗ ΔΙΕΥΘΥΝΣΗ ΗΛΕΚΤΡΟΝΙΚΗΣ ΔΙΑΚΥΒΕΡΝΗΣΗΣ</w:t>
      </w:r>
    </w:p>
    <w:p>
      <w:pPr>
        <w:pStyle w:val="PreambelText"/>
        <w:spacing w:before="240" w:after="240"/>
        <w:rPr>
          <w:lang w:val="el" w:eastAsia="el"/>
        </w:rPr>
      </w:pPr>
      <w:r>
        <w:rPr>
          <w:b/>
          <w:bCs/>
          <w:lang w:val="el" w:eastAsia="el"/>
        </w:rPr>
        <w:t>ΔΙΕΥΘΥΝΣΗ ΔΙΑΧΕΙΡΙΣΗΣ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Β) ΓΕΝΙΚΗ ΔΙΕΥΘΥΝΣΗ ΦΟΡΟΛΟΓΙΑΣ</w:t>
      </w:r>
    </w:p>
    <w:p>
      <w:pPr>
        <w:spacing w:before="240" w:after="240"/>
        <w:rPr>
          <w:lang w:val="el" w:eastAsia="el"/>
        </w:rPr>
      </w:pPr>
      <w:r>
        <w:rPr>
          <w:b/>
          <w:bCs/>
          <w:lang w:val="el" w:eastAsia="el"/>
        </w:rPr>
        <w:t>ΔΙΕΥΘΥΝΣΗ ΕΛΕΓΚΤΙΚΩΝ ΔΙΑΔΙΚΑΣΙΩΝ ΤΜΗΜΑ A’</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Α.1098/13.07.2022 απόφασης του Διοικητή της Ανεξάρτητης Αρχής Δημοσίων Εσόδων (ΑΑΔΕ)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Tης παρ. 9 του άρθρου 12 και του άρθρου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της παρ. 17 του άρθρου 83 και του άρθρου 17 του Κώδικα Φορολογικής Διαδικασίας (ν. 5104/2024, Α΄58), εφεξής ΚΦΔ,</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4 και του άρθρου 41 αυτού.</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Tης υπό στοιχεία Α.1098/2022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Α.1138/2020 κοινής απόφασης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Α.1024/2020 απόφασης του Διοικητή της Ανεξάρτητης Αρχής Δημοσίων Εσόδων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ΠΟΛ.1166/2018 απόφασης του Διοικητή της Ανεξάρτητης Αρχής Δημοσίων Εσόδων «Τεχνικές προδιαγραφές πρωτοκόλλου επικοινωνίας και κρυπτογράφησης για την διαβίβαση δεδομένων στο πληροφοριακό σύστημα των ΦΗΜ» (Β΄3603),</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Α.Υ.Ο. ΠΟΛ.1220/2012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 3517),</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Α.1173/2022 απόφασης του Διοικητή της Ανεξάρτητης Αρχής Δημοσίων Εσόδων «Τροποποίηση τεχνικών προδιαγραφών ΦΗΜ» (Β’ 6953),</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Α.1011/2020 απόφασης του Διοικητή της Ανεξάρτητης Αρχής Δημοσίων Εσόδων «Απόσυρση από την χρήση μοντέλων Φορολογικών Ηλεκτρονικών Μηχανισμών (ΦΗΜ), που έλαβαν άδεια καταλληλότητας με βάση τις Α.Υ.Ο.Ο. ΠΟΛ.1234/9.10.2002 (Β΄1362) και ΠΟΛ.1135/26-10-2005 (Β΄1592), εκτός των Ε.Α.Φ.Δ.Σ.Σ. και των ΑΔΗΜΕ Ταξιμέτρων» (Β΄85). η) της με αριθμό Α.Υ.Ο. ΠΟΛ.1221/2012 απόφασης «Αναβάθμιση λογισμικών υποστήριξης των Ε.Α.Φ.Δ.Σ.Σ-Καθορισμός αποστελλομένων αρχείων δεδομένων των φορολογικών στοιχείων στην Γ.Γ.Π.Σ κατ’ εφαρμογή των διατάξεων του άρθρου 20 του. Ν.3842/2010 (Α’58)»(Β’ 3513).</w:t>
      </w:r>
    </w:p>
    <w:p>
      <w:pPr>
        <w:spacing w:before="240" w:after="240"/>
        <w:rPr>
          <w:lang w:val="el" w:eastAsia="el"/>
        </w:rPr>
      </w:pPr>
      <w:r>
        <w:rPr>
          <w:lang w:val="el" w:eastAsia="el"/>
        </w:rPr>
        <w:t xml:space="preserve">3. </w:t>
      </w:r>
      <w:r>
        <w:rPr>
          <w:b/>
          <w:bCs/>
          <w:lang w:val="el" w:eastAsia="el"/>
        </w:rPr>
        <w:t>Το με αριθμό C (2012) 4961 έγγραφο της Ευρωπαϊκής Επιτροπής με το οποίο μας γνωστοποιήθηκαν παρατηρήσεις επί της κοινοποίησης 2012/266/GR.</w:t>
      </w:r>
    </w:p>
    <w:p>
      <w:pPr>
        <w:spacing w:before="240" w:after="240"/>
        <w:rPr>
          <w:lang w:val="el" w:eastAsia="el"/>
        </w:rPr>
      </w:pPr>
      <w:r>
        <w:rPr>
          <w:lang w:val="el" w:eastAsia="el"/>
        </w:rPr>
        <w:t xml:space="preserve">4. </w:t>
      </w:r>
      <w:r>
        <w:rPr>
          <w:b/>
          <w:bCs/>
          <w:lang w:val="el" w:eastAsia="el"/>
        </w:rPr>
        <w:t>Το με αριθμό C(2012) 4967 έγγραφο της Ευρωπαϊκής Επιτροπής με το οποίο μας γνωστοποιήθηκαν παρατηρήσεις επί της κοινοποίησης 2012/267/GR.</w:t>
      </w:r>
    </w:p>
    <w:p>
      <w:pPr>
        <w:spacing w:before="240" w:after="240"/>
        <w:rPr>
          <w:lang w:val="el" w:eastAsia="el"/>
        </w:rPr>
      </w:pPr>
      <w:r>
        <w:rPr>
          <w:lang w:val="el" w:eastAsia="el"/>
        </w:rPr>
        <w:t xml:space="preserve">5. </w:t>
      </w:r>
      <w:r>
        <w:rPr>
          <w:b/>
          <w:bCs/>
          <w:lang w:val="el" w:eastAsia="el"/>
        </w:rPr>
        <w:t>Την έγκριση της Ευρωπαϊκής Επιτροπής επί της κοινοποίησης 2022/183/GR, για την αποδοχή της διαδικασίας του επείγοντος, με το υπ. αριθμ. GROW/E3/BH/as (2022) 3027420/12.04.2022 έγγραφο αυτής προς τον Πληρεξούσιο Υπουργό της Μόνιμης Αντιπροσωπίας της Ελλάδος στις Βρυξέλλες και το οποίο κοινοποιήθηκε εις εμάς μέσω του ΕΛΟΤ.</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7.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8. </w:t>
      </w:r>
      <w:r>
        <w:rPr>
          <w:b/>
          <w:bCs/>
          <w:lang w:val="el" w:eastAsia="el"/>
        </w:rPr>
        <w:t>Το πόρισμα της Ομάδας Διοίκησης Έργου στην ΑΑΔΕ για την εκπόνηση των προδιαγραφών της διασύνδεσης ταμειακών μηχανών με τερματικά POS, στο πλαίσιο της μεταρρύθμισης 16614 για την αναμόρφωση και τη διασύνδεση των ταμειακών μηχανών με τη φορολογική διοίκηση, που υλοποιείται στα πλαίσια του Εθνικού Σχεδίου Ανάκαμψης και Ανθεκτικότητας «Ελλάδα 2.0».</w:t>
      </w:r>
    </w:p>
    <w:p>
      <w:pPr>
        <w:spacing w:before="240" w:after="240"/>
        <w:rPr>
          <w:lang w:val="el" w:eastAsia="el"/>
        </w:rPr>
      </w:pPr>
      <w:r>
        <w:rPr>
          <w:lang w:val="el" w:eastAsia="el"/>
        </w:rPr>
        <w:t xml:space="preserve">9. </w:t>
      </w:r>
      <w:r>
        <w:rPr>
          <w:b/>
          <w:bCs/>
          <w:lang w:val="el" w:eastAsia="el"/>
        </w:rPr>
        <w:t>Την ανάγκη τροποποίησης του χρόνου που θα είναι διαθέσιμα στο EFT POS τα στοιχεία του παραστατικού προς συσχέτιση.</w:t>
      </w:r>
    </w:p>
    <w:p>
      <w:pPr>
        <w:spacing w:before="240" w:after="240"/>
        <w:rPr>
          <w:lang w:val="el" w:eastAsia="el"/>
        </w:rPr>
      </w:pPr>
      <w:r>
        <w:rPr>
          <w:lang w:val="el" w:eastAsia="el"/>
        </w:rPr>
        <w:t xml:space="preserve">10.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lang w:val="el" w:eastAsia="el"/>
        </w:rPr>
        <w:t xml:space="preserve">11. </w:t>
      </w:r>
      <w:r>
        <w:rPr>
          <w:b/>
          <w:bCs/>
          <w:lang w:val="el" w:eastAsia="el"/>
        </w:rPr>
        <w:t>Το γεγονός ότι με τις διατάξεις της παρούσας τροποποιείται η διοικητική διαδικασία με επίσημο τίτλο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 και Μοναδικό Αριθμό Καταχώρισης (Μ.Α.Κ) στο ΕΜΔΔ «Μίτος» “758525”.</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Α.1098/13.07.2022 απόφαση του Διοικητή της Ανεξάρτητης Αρχής Δημοσίων Εσόδων (ΑΑΔΕ)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 ως ακολούθως:</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Το τρίτο εδάφιο της παρ. 5.7 του Παραρτήματος αντικαθίσταται ως εξής:</w:t>
      </w:r>
    </w:p>
    <w:p>
      <w:pPr>
        <w:spacing w:before="240" w:after="240"/>
        <w:rPr>
          <w:lang w:val="el" w:eastAsia="el"/>
        </w:rPr>
      </w:pPr>
      <w:r>
        <w:rPr>
          <w:b/>
          <w:bCs/>
          <w:lang w:val="el" w:eastAsia="el"/>
        </w:rPr>
        <w:t>«Το EFTPOS καταχωρεί τα στοιχεία της απόδειξης (ποσό, session number, receipt number) και τα έχει διαθέσιμα προς χρήση με μέγιστο χρονικό όριο τις 60 ώρες.».</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