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ΘΕΜΑ : «Διαδικασία απαλλαγής από το Φ.Π.Α. της παράδοσης και της ενδοκοινοτικής απόκτησης αγαθών Ειδικού Φόρου Κατανάλωσης, Φόρου Κατανάλωσης και εξερχόμενων από Ελεύθερο Τελωνειακό Συγκρότημα, Ελεύθερο Τελωνειακό Χώρο και Χώρο Τελωνειακής Επίβλεψης που προορίζονται να εξαχθούν ή να παραδοθούν σε υποκείμενο στο Φ.Π.Α. πρόσωπο εγκατεστημένο σε άλλο κράτος μέλος της Ευρωπαϊκής Ένωσης»</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PreambelText"/>
        <w:spacing w:before="240" w:after="240"/>
        <w:rPr>
          <w:lang w:val="el" w:eastAsia="el"/>
        </w:rPr>
      </w:pPr>
      <w:r>
        <w:rPr>
          <w:b/>
          <w:bCs/>
          <w:lang w:val="el" w:eastAsia="el"/>
        </w:rPr>
        <w:t>α. των άρθρων 2, 5, 14, 15, 20, 21, 23, 24, 30, 40, της περ. ζ) της παρ.1 και ιδίως της εξουσιοδοτικής διάταξης της παρ. 2 του άρθρου 29, της περ. δ) της παρ.1, της παρ. 2 και ιδίως της εξουσιοδοτικής διάταξης της παρ. 4 του άρθρου 33 και του άρθρου 67 του Κώδικα Φόρου Προστιθέμενης Αξίας (ν. 5144/2024 A΄162),</w:t>
      </w:r>
    </w:p>
    <w:p>
      <w:pPr>
        <w:pStyle w:val="PreambelText"/>
        <w:spacing w:before="240" w:after="240"/>
        <w:rPr>
          <w:lang w:val="el" w:eastAsia="el"/>
        </w:rPr>
      </w:pPr>
      <w:r>
        <w:rPr>
          <w:b/>
          <w:bCs/>
          <w:lang w:val="el" w:eastAsia="el"/>
        </w:rPr>
        <w:t>β.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PreambelText"/>
        <w:spacing w:before="240" w:after="240"/>
        <w:rPr>
          <w:lang w:val="el" w:eastAsia="el"/>
        </w:rPr>
      </w:pPr>
      <w:r>
        <w:rPr>
          <w:b/>
          <w:bCs/>
          <w:lang w:val="el" w:eastAsia="el"/>
        </w:rPr>
        <w:t>γ. των άρθρων 29,31,33,53,53α,54,55,56,63,64,72,73,94,109,110,142,155 και 158 του Εθνικού Τελωνειακού Κώδικα (ν. 2960/2001, Α΄ 265),</w:t>
      </w:r>
    </w:p>
    <w:p>
      <w:pPr>
        <w:pStyle w:val="PreambelText"/>
        <w:spacing w:before="240" w:after="240"/>
        <w:rPr>
          <w:lang w:val="el" w:eastAsia="el"/>
        </w:rPr>
      </w:pPr>
      <w:r>
        <w:rPr>
          <w:b/>
          <w:bCs/>
          <w:lang w:val="el" w:eastAsia="el"/>
        </w:rPr>
        <w:t>δ. του ν. 4308/2014 «Ελληνικά Λογιστικά πρότυπα, συναφείς ρυθμίσεις και άλλες διατάξεις» (Α΄251),</w:t>
      </w:r>
    </w:p>
    <w:p>
      <w:pPr>
        <w:pStyle w:val="PreambelText"/>
        <w:spacing w:before="240" w:after="240"/>
        <w:rPr>
          <w:lang w:val="el" w:eastAsia="el"/>
        </w:rPr>
      </w:pPr>
      <w:r>
        <w:rPr>
          <w:b/>
          <w:bCs/>
          <w:lang w:val="el" w:eastAsia="el"/>
        </w:rPr>
        <w:t>ε. του Κανονισμού 2446/2015 (ΕΕ) της Επιτροπής της 28</w:t>
      </w:r>
      <w:r>
        <w:rPr>
          <w:b/>
          <w:bCs/>
          <w:sz w:val="30"/>
          <w:szCs w:val="30"/>
          <w:vertAlign w:val="superscript"/>
          <w:lang w:val="el" w:eastAsia="el"/>
        </w:rPr>
        <w:t>ης</w:t>
      </w:r>
      <w:r>
        <w:rPr>
          <w:b/>
          <w:bCs/>
          <w:lang w:val="el" w:eastAsia="el"/>
        </w:rPr>
        <w:t xml:space="preserve"> Ιουλίου 2015 του Ευρωπαϊκού Κοινοβουλίου και του Συμβουλίου, για τη συμπλήρωση του Κανονισμού (ΕΕ) αριθμ. 952/2013</w:t>
      </w:r>
    </w:p>
    <w:p>
      <w:pPr>
        <w:pStyle w:val="PreambelText"/>
        <w:spacing w:before="240" w:after="240"/>
        <w:rPr>
          <w:lang w:val="el" w:eastAsia="el"/>
        </w:rPr>
      </w:pPr>
      <w:r>
        <w:rPr>
          <w:b/>
          <w:bCs/>
          <w:lang w:val="el" w:eastAsia="el"/>
        </w:rPr>
        <w:t>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(L343),</w:t>
      </w:r>
    </w:p>
    <w:p>
      <w:pPr>
        <w:pStyle w:val="PreambelText"/>
        <w:spacing w:before="240" w:after="240"/>
        <w:rPr>
          <w:lang w:val="el" w:eastAsia="el"/>
        </w:rPr>
      </w:pPr>
      <w:r>
        <w:rPr>
          <w:b/>
          <w:bCs/>
          <w:lang w:val="el" w:eastAsia="el"/>
        </w:rPr>
        <w:t>στ. της υπό στοιχεία ΠΟΛ.1167/29.07.2015 απόφασης της Γενικής Γραμματέως Δημοσίων Εσόδων του Υπουργείου Οικονομικών «Διαδικασία απαλλαγής από το Φ.Π.Α. της αγοράς και της εισαγωγής αγαθών που προορίζονται για εξαγωγή ή ενδοκοινοτική παράδοση καθώς και των υπηρεσιών που συνδέονται άμεσα με τις πράξεις αυτές» (Β΄1808),</w:t>
      </w:r>
    </w:p>
    <w:p>
      <w:pPr>
        <w:pStyle w:val="PreambelText"/>
        <w:spacing w:before="240" w:after="240"/>
        <w:rPr>
          <w:lang w:val="el" w:eastAsia="el"/>
        </w:rPr>
      </w:pPr>
      <w:r>
        <w:rPr>
          <w:b/>
          <w:bCs/>
          <w:lang w:val="el" w:eastAsia="el"/>
        </w:rPr>
        <w:t>ζ. της υπό στοιχεία Α.1158/4.11.2022 απόφασης Διοικητή ΑΑΔΕ «Καθορισμός και επικαιροποίηση τύπου και περιεχομένου εντύπων της φορολογικής Διοίκησης» (Β΄5703),</w:t>
      </w:r>
    </w:p>
    <w:p>
      <w:pPr>
        <w:pStyle w:val="PreambelText"/>
        <w:spacing w:before="240" w:after="240"/>
        <w:rPr>
          <w:lang w:val="el" w:eastAsia="el"/>
        </w:rPr>
      </w:pPr>
      <w:r>
        <w:rPr>
          <w:b/>
          <w:bCs/>
          <w:lang w:val="el" w:eastAsia="el"/>
        </w:rPr>
        <w:t>η. της υπό στοιχεία Α.1437/20.11.2019 απόφασης Διοικητή ΑΑΔΕ «Υποχρεωτική ηλεκτρονική υποβολή των υποστηρικτικών, δικαιολογητικών εγγράφων της Δήλωσης Ειδικού Φόρου Κατανάλωσης και λοιπών Φορολογιών (Δ.Ε.Φ.Κ.) -Τήρηση Αρχείου» (Β΄4443),</w:t>
      </w:r>
    </w:p>
    <w:p>
      <w:pPr>
        <w:pStyle w:val="PreambelText"/>
        <w:spacing w:before="240" w:after="240"/>
        <w:rPr>
          <w:lang w:val="el" w:eastAsia="el"/>
        </w:rPr>
      </w:pPr>
      <w:r>
        <w:rPr>
          <w:b/>
          <w:bCs/>
          <w:lang w:val="el" w:eastAsia="el"/>
        </w:rPr>
        <w:t>θ. της υπό στοιχεία Δ.ΟΡΓ.Α.1125859 ΕΞ 2020/23-10-2020 απόφασης Διοικητή της Ανεξάρτητης Αρχής Δημοσίων Εσόδων «Οργανισμός της Ανεξάρτητης Αρχής Δημοσίων Εσόδων» (Β΄4738).</w:t>
      </w:r>
    </w:p>
    <w:p>
      <w:pPr>
        <w:pStyle w:val="PreambelText"/>
        <w:spacing w:before="240" w:after="240"/>
        <w:rPr>
          <w:lang w:val="el" w:eastAsia="el"/>
        </w:rPr>
      </w:pPr>
      <w:r>
        <w:rPr>
          <w:lang w:val="el" w:eastAsia="el"/>
        </w:rPr>
        <w:t xml:space="preserve">2. </w:t>
      </w:r>
      <w:r>
        <w:rPr>
          <w:b/>
          <w:bCs/>
          <w:lang w:val="el" w:eastAsia="el"/>
        </w:rPr>
        <w:t>Την υπό στοιχεία Δ.ΟΡΓ. 1065199 ΕΞ 2022/20.07.2022 απόφαση Διοικητή της Ανεξάρτητης Αρχής Δημοσίων Εσόδων «Μεταβίβαση αρμοδιοτήτων και εξουσιοδότηση υπογραφής «Mε εντολή Διοικητή» σε όργανα της Φορολογικής Διοίκησης» (Β΄3886).</w:t>
      </w:r>
    </w:p>
    <w:p>
      <w:pPr>
        <w:pStyle w:val="PreambelText"/>
        <w:spacing w:before="240" w:after="240"/>
        <w:rPr>
          <w:lang w:val="el" w:eastAsia="el"/>
        </w:rPr>
      </w:pPr>
      <w:r>
        <w:rPr>
          <w:lang w:val="el" w:eastAsia="el"/>
        </w:rPr>
        <w:t xml:space="preserve">3. </w:t>
      </w:r>
      <w:r>
        <w:rPr>
          <w:b/>
          <w:bCs/>
          <w:lang w:val="el" w:eastAsia="el"/>
        </w:rPr>
        <w:t>Την υπ’ αρ.1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(Α΄ 94) και τις αποφάσεις υπ’ αρ.39/3/30-11-2017 (Υ.Ο.Δ.Δ. 689) του Συμβουλίου Διοίκησης της ΑΑΔΕ και την αριθ. 5294/17.01.2020 του Υπουργού Οικονομικών «Ανανέωση θητείας του Διοικητή της Ανεξάρτητης Αρχής Δημοσίων Εσόδων» (Υ.Ο.Δ.Δ. 27) καθώς και την υπό στοιχεία 7608ΕΞ2025/17-01-2025 (Υ.Ο.Δ.Δ.) του Υπουργού Εθνικής Οικονομίας και Οικονομικών με θέμα «Ανανέωση της θητείας του Διοικητή της Ανεξάρτητης Αρχής Δημοσίων Εσόδων (ΑΑΔΕ)».</w:t>
      </w:r>
    </w:p>
    <w:p>
      <w:pPr>
        <w:pStyle w:val="PreambelText"/>
        <w:spacing w:before="240" w:after="240"/>
        <w:rPr>
          <w:lang w:val="el" w:eastAsia="el"/>
        </w:rPr>
      </w:pPr>
      <w:r>
        <w:rPr>
          <w:lang w:val="el" w:eastAsia="el"/>
        </w:rPr>
        <w:t xml:space="preserve">4. </w:t>
      </w:r>
      <w:r>
        <w:rPr>
          <w:b/>
          <w:bCs/>
          <w:lang w:val="el" w:eastAsia="el"/>
        </w:rPr>
        <w:t>Tην ανάγκη καθορισμού διαδικασίας για την απαλλαγή από Φ.Π.Α. κατά την παράδοση και την ενδοκοινοτική απόκτηση αγαθών που προορίζονται να εξαχθούν ή να παραδοθούν σε άλλο κράτος μέλος της Ευρωπαϊκής Ένωσης.</w:t>
      </w:r>
    </w:p>
    <w:p>
      <w:pPr>
        <w:pStyle w:val="PreambelText"/>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PreambelText"/>
        <w:spacing w:before="240" w:after="240"/>
        <w:rPr>
          <w:lang w:val="el" w:eastAsia="el"/>
        </w:rPr>
      </w:pPr>
      <w:r>
        <w:rPr>
          <w:lang w:val="el" w:eastAsia="el"/>
        </w:rPr>
        <w:t xml:space="preserve">6. </w:t>
      </w:r>
      <w:r>
        <w:rPr>
          <w:b/>
          <w:bCs/>
          <w:lang w:val="el" w:eastAsia="el"/>
        </w:rPr>
        <w:t>Το γεγονός ότι, με τις διατάξεις της παρούσας θεσπίζεται νέα διοικητική διαδικασία με επίσημο τίτλο «Διαδικασία απαλλαγής Φ.Π.Α. παράδοσης/ ενδοκοινοτικής απόκτησης αγαθών, που προορίζονται να εξαχθούν ή να παραδοθούν σε άλλο κράτος μέλος της Ε.Ε.( ΕΔΔΑ).</w:t>
      </w:r>
    </w:p>
    <w:p>
      <w:pPr>
        <w:pStyle w:val="enacting"/>
        <w:spacing w:before="120" w:after="0"/>
        <w:rPr>
          <w:lang w:val="el" w:eastAsia="el"/>
        </w:rPr>
      </w:pPr>
      <w:r>
        <w:rPr>
          <w:b/>
          <w:bCs/>
          <w:lang w:val="el" w:eastAsia="el"/>
        </w:rPr>
        <w:t>Α π ο φ α σ ί ζ ο υ μ ετον καθορισμό διαδικασίας απαλλαγής από τον Φ.Π.Α. της παράδοσης και της ενδοκοινοτικήςαπόκτησης υποκείμενων σε Ειδικό Φόρο Κατανάλωσης ή Φόρο Κατανάλωσης αγαθών, καθώςκαι αγαθών που εξέρχονται από Ελεύθερο Τελωνειακό Συγκρότημα, Ελεύθερο ΤελωνειακόΧώρο, Χώρο Τελωνειακής Επίβλεψης που προορίζονται να εξαχθούν ή να παραδοθούν σευποκείμενο σε Φ.Π.Α. πρόσωπο εγκατεστημένο σε άλλο κράτος μέλος της ΕυρωπαϊκήςΈνωσης.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Ορισμοί – Πεδίο εφαρμογής</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τους σκοπούς εφαρμογής της παρούσας, νοείται:</w:t>
      </w:r>
    </w:p>
    <w:p>
      <w:pPr>
        <w:spacing w:before="240" w:after="240"/>
        <w:rPr>
          <w:lang w:val="el" w:eastAsia="el"/>
        </w:rPr>
      </w:pPr>
      <w:r>
        <w:rPr>
          <w:b/>
          <w:bCs/>
          <w:lang w:val="el" w:eastAsia="el"/>
        </w:rPr>
        <w:t>α. Ότι τα παραδιδόμενα και τα ενδοκοινοτικώς αποκτώμενα αγαθά, κατά το χρόνο της εξαγωγής τους ή της παράδοσής τους σε άλλο κράτος μέλος της Ε.Ε. είναι:</w:t>
      </w:r>
    </w:p>
    <w:p>
      <w:pPr>
        <w:pStyle w:val="StructureList1"/>
        <w:spacing w:before="120" w:after="0"/>
        <w:rPr>
          <w:lang w:val="el" w:eastAsia="el"/>
        </w:rPr>
      </w:pPr>
      <w:r>
        <w:rPr>
          <w:lang w:val="el" w:eastAsia="el"/>
        </w:rPr>
        <w:t>αα)</w:t>
      </w:r>
      <w:r>
        <w:rPr>
          <w:lang w:val="en" w:eastAsia="en"/>
        </w:rPr>
        <w:tab/>
      </w:r>
      <w:r>
        <w:rPr>
          <w:b/>
          <w:bCs/>
          <w:lang w:val="el" w:eastAsia="el"/>
        </w:rPr>
        <w:t>Αυτούσια, όταν είναι στην ίδια ακριβώς κατάσταση στην οποία ευρίσκοντο όταν αποκτήθηκαν ή έχουν μεν υποστεί κάποια από τις συνήθεις εργασίες του Παραρτήματος 7103 του ΚΑΝ. 2446/2015 (Ε.Ε.), η οποία όμως δεν έχει ως αποτέλεσμα, ούτε τη μεταβολή του οκταψήφιου κωδικού Συνδυασμένης Ονοματολογίας (ΣΟ) των αγαθών αυτών, ούτε την ανάγκη καθορισμού συντελεστών απόδοσης, προκειμένου να υπολογιστεί το ποσοστό συμμετοχής στο τελικό προϊόν, των αρχικών αγαθών που υπέστησαν κάποια από τις συνήθεις εργασίες.</w:t>
      </w:r>
    </w:p>
    <w:p>
      <w:pPr>
        <w:pStyle w:val="StructureList1"/>
        <w:spacing w:before="120" w:after="0"/>
        <w:rPr>
          <w:lang w:val="el" w:eastAsia="el"/>
        </w:rPr>
      </w:pPr>
      <w:r>
        <w:rPr>
          <w:lang w:val="el" w:eastAsia="el"/>
        </w:rPr>
        <w:t>αβ)</w:t>
      </w:r>
      <w:r>
        <w:rPr>
          <w:lang w:val="en" w:eastAsia="en"/>
        </w:rPr>
        <w:tab/>
      </w:r>
      <w:r>
        <w:rPr>
          <w:b/>
          <w:bCs/>
          <w:lang w:val="el" w:eastAsia="el"/>
        </w:rPr>
        <w:t>Μεταποιημένα, όταν τα εξαγόμενα ή παραδιδόμενα σε άλλο κράτος μέλος της Ε.Ε. αγαθά, είναι παράγωγα προϊόντα που προέρχονται από τελειοποίηση των αγαθών που αποκτήθηκαν αρχικά με απαλλαγή από το Φ.Π.Α. και για τα οποία απαιτήθηκε ο προσδιορισμός του συντελεστή απόδοσης, σύμφωνα με τα οριζόμενα στην παρ. 3 της ενότητας Α του άρθρου 2 της παρούσας, προκειμένου να διαπιστωθεί το ποσοστό συμμετοχής των αρχικών αγαθών στο τελικό προϊόν.</w:t>
      </w:r>
    </w:p>
    <w:p>
      <w:pPr>
        <w:spacing w:before="240" w:after="240"/>
        <w:rPr>
          <w:lang w:val="el" w:eastAsia="el"/>
        </w:rPr>
      </w:pPr>
      <w:r>
        <w:rPr>
          <w:b/>
          <w:bCs/>
          <w:lang w:val="el" w:eastAsia="el"/>
        </w:rPr>
        <w:t>β. Ως Τελωνείο Ελέγχου, το τελωνείο στη χωρική αρμοδιότητα του οποίου βρίσκεται η φορολογική αποθήκη του εγκεκριμένου αποθηκευτή-πωλητή του άρθρου 55 και 64 ν.2960/2001 ή ο κύριος τόπος παραλαβής των αγαθών του εγγεγραμμένου/πιστοποιημένου παραλήπτη ή το τελωνείο που εποπτεύει το Ελεύθερο Τελωνειακό Συγκρότημα, τον Ελεύθερο Τελωνειακό Χώρο ή τον Χώρο Τελωνειακής Επίβλεψης κατά περίπτωση.</w:t>
      </w:r>
    </w:p>
    <w:p>
      <w:pPr>
        <w:pStyle w:val="MainText"/>
        <w:spacing w:before="120" w:after="0"/>
        <w:rPr>
          <w:lang w:val="el" w:eastAsia="el"/>
        </w:rPr>
      </w:pPr>
      <w:r>
        <w:rPr>
          <w:b/>
          <w:bCs/>
          <w:lang w:val="el" w:eastAsia="el"/>
        </w:rPr>
        <w:t>2.</w:t>
      </w:r>
      <w:r>
        <w:rPr>
          <w:lang w:val="el" w:eastAsia="el"/>
        </w:rPr>
        <w:t xml:space="preserve"> </w:t>
      </w:r>
      <w:r>
        <w:rPr>
          <w:b/>
          <w:bCs/>
          <w:lang w:val="el" w:eastAsia="el"/>
        </w:rPr>
        <w:t>Στο πεδίο εφαρμογής της παρούσας δεν εμπίπτουν τα υποκείμενα σε Ειδικό Φόρο Κατανάλωσης ενεργειακά προϊόντα, τα βιομηχανοποιημένα καπνά και το προϊόν της περ. στ) της παρ.1 του άρθρου 53Α του ν.2960/2001.</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απαλλαγής από τον Φ.Π.Α. της παράδοσης και της ενδοκοινοτικής απόκτησης αγαθών που προορίζονται για εξαγωγή ή ενδοκοινοτική παράδοση σε άλλο κράτος μέλος της Ευρωπαϊκής Ένωσης</w:t>
      </w:r>
    </w:p>
    <w:p>
      <w:pPr>
        <w:spacing w:before="240" w:after="240"/>
        <w:rPr>
          <w:lang w:val="el" w:eastAsia="el"/>
        </w:rPr>
      </w:pPr>
      <w:r>
        <w:rPr>
          <w:b/>
          <w:bCs/>
          <w:lang w:val="el" w:eastAsia="el"/>
        </w:rPr>
        <w:t>Α. Υποβολή Δήλωσης Ειδικού Φόρου Κατανάλωσης και Λοιπών Φορολογιών</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την απαλλαγή από το Φ.Π.Α.:</w:t>
      </w:r>
    </w:p>
    <w:p>
      <w:pPr>
        <w:pStyle w:val="StructureList1"/>
        <w:spacing w:before="120" w:after="0"/>
        <w:rPr>
          <w:lang w:val="el" w:eastAsia="el"/>
        </w:rPr>
      </w:pPr>
      <w:r>
        <w:rPr>
          <w:lang w:val="el" w:eastAsia="el"/>
        </w:rPr>
        <w:t>α)</w:t>
      </w:r>
      <w:r>
        <w:rPr>
          <w:lang w:val="en" w:eastAsia="en"/>
        </w:rPr>
        <w:tab/>
      </w:r>
      <w:r>
        <w:rPr>
          <w:b/>
          <w:bCs/>
          <w:lang w:val="el" w:eastAsia="el"/>
        </w:rPr>
        <w:t>κατά την παράδοση αγαθών από φορολογική αποθήκη του άρθρου 63 του ν.2960/2001 που διενεργείται από εγκεκριμένο αποθηκευτή-πωλητή σε πρόσωπο υποκείμενο στο φόρο-αγοραστή, στο οποίο έχει χορηγηθεί το «Ειδικό Διπλότυπο Δελτίο Απαλλαγής από Φ.Π.Α.» της υπό στοιχεία ΠΟΛ.1167/2015 απόφασης ΓΓΔΕ και τα οποία προορίζονται να εξαχθούν ή να παραδοθούν σε άλλο κράτος μέλος της Ευρωπαϊκής Ένωσης,</w:t>
      </w:r>
    </w:p>
    <w:p>
      <w:pPr>
        <w:pStyle w:val="StructureList1"/>
        <w:spacing w:before="120" w:after="0"/>
        <w:rPr>
          <w:lang w:val="el" w:eastAsia="el"/>
        </w:rPr>
      </w:pPr>
      <w:r>
        <w:rPr>
          <w:lang w:val="el" w:eastAsia="el"/>
        </w:rPr>
        <w:t>β)</w:t>
      </w:r>
      <w:r>
        <w:rPr>
          <w:lang w:val="en" w:eastAsia="en"/>
        </w:rPr>
        <w:tab/>
      </w:r>
      <w:r>
        <w:rPr>
          <w:b/>
          <w:bCs/>
          <w:lang w:val="el" w:eastAsia="el"/>
        </w:rPr>
        <w:t>κατά την ενδοκοινοτική απόκτηση αγαθών που διενεργείται από εγγεγραμμένο/πιστοποιημένο παραλήπτη-αγοραστή, στον οποίο έχει χορηγηθεί το «Ειδικό Διπλότυπο Δελτίο Απαλλαγής από Φ.Π.Α.»,</w:t>
      </w:r>
    </w:p>
    <w:p>
      <w:pPr>
        <w:pStyle w:val="StructureList1"/>
        <w:spacing w:before="120" w:after="0"/>
        <w:rPr>
          <w:lang w:val="el" w:eastAsia="el"/>
        </w:rPr>
      </w:pPr>
      <w:r>
        <w:rPr>
          <w:lang w:val="el" w:eastAsia="el"/>
        </w:rPr>
        <w:t>γ)</w:t>
      </w:r>
      <w:r>
        <w:rPr>
          <w:lang w:val="en" w:eastAsia="en"/>
        </w:rPr>
        <w:tab/>
      </w:r>
      <w:r>
        <w:rPr>
          <w:b/>
          <w:bCs/>
          <w:lang w:val="el" w:eastAsia="el"/>
        </w:rPr>
        <w:t>κατά την παράδοση αγαθών από επιχείρηση που έχει αναγνωρισθεί ως Ελεύθερο Τελωνειακό Συγκρότημα, Ελεύθερο Τελωνειακό Χώρο, Χώρο Τελωνειακής Επίβλεψης σε υποκείμενο στο φόρο πρόσωπο-αγοραστή, στο οποίο έχει χορηγηθεί το «Ειδικό Διπλότυπο Δελτίο Απαλλαγής από Φ.Π.Α.»,</w:t>
      </w:r>
    </w:p>
    <w:p>
      <w:pPr>
        <w:spacing w:before="240" w:after="240"/>
        <w:rPr>
          <w:lang w:val="el" w:eastAsia="el"/>
        </w:rPr>
      </w:pPr>
      <w:r>
        <w:rPr>
          <w:b/>
          <w:bCs/>
          <w:lang w:val="el" w:eastAsia="el"/>
        </w:rPr>
        <w:t>υποβάλλεται από το υπόχρεο στο φόρο πρόσωπο – αγοραστή, στο όνομα του οποίου έχει εκδοθεί το Ειδικό Διπλότυπο Δελτίο Απαλλαγής από το Φ.Π.Α., Δήλωση Ειδικού Φόρου Κατανάλωσης και Λοιπών Φορολογιών (ΔΕΦΚ), κατ΄εφαρμογή των άρθρων 109 και 110 του ν. 2960/2001, στο Τελωνείο Ελέγχου. Με την ΔΕΦΚ συνυποβάλλεται και το «Ειδικό Διπλότυπο Δελτίο Απαλλαγής από Φ.Π.Α.», καθώς και τα προβλεπόμενα δικαιολογητικά έγγραφα. Ο αναλογών Φ.Π.Α. βεβαιώνεται αλλά δεν εισπράττεται. Η ΔΕΦΚ παραμένει σε παρακολούθηση στο Τελωνείο Ελέγχου, μέχρι την οριστικοποίηση της απαλλαγής ή την καταβολή του αναλογούντος Φ.Π.Α.</w:t>
      </w:r>
    </w:p>
    <w:p>
      <w:pPr>
        <w:pStyle w:val="MainText"/>
        <w:spacing w:before="120" w:after="0"/>
        <w:rPr>
          <w:lang w:val="el" w:eastAsia="el"/>
        </w:rPr>
      </w:pPr>
      <w:r>
        <w:rPr>
          <w:b/>
          <w:bCs/>
          <w:lang w:val="el" w:eastAsia="el"/>
        </w:rPr>
        <w:t>2.</w:t>
      </w:r>
      <w:r>
        <w:rPr>
          <w:lang w:val="el" w:eastAsia="el"/>
        </w:rPr>
        <w:t xml:space="preserve"> </w:t>
      </w:r>
      <w:r>
        <w:rPr>
          <w:b/>
          <w:bCs/>
          <w:lang w:val="el" w:eastAsia="el"/>
        </w:rPr>
        <w:t>Η αξία της συναλλαγής που συμπληρώνεται στο «Ειδικό Διπλότυπο Δελτίο Απαλλαγής από το Φ.Π.Α.» είναι η αξία που διαμορφώνεται με βάση το άρθρο 24 του Κώδικα ΦΠΑ (ν.5144/2024,162/Α), επί της οποίας υπολογίζεται ο αναλογών Φ.Π.Α. και η οποία αναγράφεται στη ΔΕΦΚ.</w:t>
      </w:r>
    </w:p>
    <w:p>
      <w:pPr>
        <w:spacing w:before="240" w:after="240"/>
        <w:rPr>
          <w:lang w:val="el" w:eastAsia="el"/>
        </w:rPr>
      </w:pPr>
      <w:r>
        <w:rPr>
          <w:b/>
          <w:bCs/>
          <w:lang w:val="el" w:eastAsia="el"/>
        </w:rPr>
        <w:t>Στις περ. α) και γ) της παρ. 1 ο εγκεκριμένος αποθηκευτής- πωλητής εκδίδει τιμολόγιο πώλησης, χωρίς να περιλαμβάνει Φ.Π.Α., με μνεία «Απαλλαγή από Φ.Π.Α. άρθρα 29 παρ. 1 περ. ζ) και 33 παρ.1 περ. δ) Κώδικα Φ.Π.Α. και υπό στοιχεία …….. απόφαση Διοικητή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Όταν τα παραδιδόμενα ή ενδοκοινοτικώς αποκτούμενα με απαλλαγή από Φ.Π.Α. αγαθά, προορίζονται να εξαχθούν ή να αποτελέσουν αντικείμενο ενδοκοινοτικής παράδοσης, μεταποιημένα, κατά την έννοια της υποπερ. αβ) της περ. α της παρ. 1 του άρθρου 1, απαιτείται ο προσδιορισμός του συντελεστή απόδοσης για τη διαπίστωση του ποσοστού συμμετοχής τους στο τελικό προϊόν. Ο προσδιορισμός αυτός γίνεται κατ΄ανάλογη εφαρμογή των διατάξεων του καθεστώτος τελειοποίησης προς επανεξαγωγή, όπως αυτό κάθε φορά ισχύει.</w:t>
      </w:r>
    </w:p>
    <w:p>
      <w:pPr>
        <w:spacing w:before="240" w:after="240"/>
        <w:rPr>
          <w:lang w:val="el" w:eastAsia="el"/>
        </w:rPr>
      </w:pPr>
      <w:r>
        <w:rPr>
          <w:b/>
          <w:bCs/>
          <w:lang w:val="el" w:eastAsia="el"/>
        </w:rPr>
        <w:t>Β. Προθεσμία πραγματοποίησης της εξαγωγής ή της ενδοκοινοτικής παράδοσης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Αυτούσια αγαθά</w:t>
      </w:r>
    </w:p>
    <w:p>
      <w:pPr>
        <w:spacing w:before="240" w:after="240"/>
        <w:rPr>
          <w:lang w:val="el" w:eastAsia="el"/>
        </w:rPr>
      </w:pPr>
      <w:r>
        <w:rPr>
          <w:b/>
          <w:bCs/>
          <w:lang w:val="el" w:eastAsia="el"/>
        </w:rPr>
        <w:t>α. Η προθεσμία πραγματοποίησης της εξαγωγής ή της ενδοκοινοτικής παράδοσης κατ' εφαρμογή της παρούσας, ορίζεται σε εννέα (9) μήνες από την αποδοχή της ΔΕΦΚ, με δυνατότητα παράτασης κατ΄ανώτατο όριο έως τέσσερις (4) μήνες, τηρουμένης της διαδικασίας της κατωτέρω παρ. 3.</w:t>
      </w:r>
    </w:p>
    <w:p>
      <w:pPr>
        <w:spacing w:before="240" w:after="240"/>
        <w:rPr>
          <w:lang w:val="el" w:eastAsia="el"/>
        </w:rPr>
      </w:pPr>
      <w:r>
        <w:rPr>
          <w:b/>
          <w:bCs/>
          <w:lang w:val="el" w:eastAsia="el"/>
        </w:rPr>
        <w:t>β. Όταν ο υπόχρεος, κατά τη χρονική στιγμή υποβολής της ΔΕΦΚ, είναι κάτοχος πιστοποιητικού ΑΕΟ, η προθεσμία πραγματοποίησης της εξαγωγής ή της ενδοκοινοτικής παράδοσης κατ' εφαρμογή της παρούσας, ορίζεται σε είκοσι (20) μήνες, από την αποδοχή της με δυνατότητα παράτασης κατ΄ανώτατο όριο έως τέσσερις (4) μήνες, τηρουμένης της διαδικασίας της κατωτέρω παρ. 3.</w:t>
      </w:r>
    </w:p>
    <w:p>
      <w:pPr>
        <w:spacing w:before="240" w:after="240"/>
        <w:rPr>
          <w:lang w:val="el" w:eastAsia="el"/>
        </w:rPr>
      </w:pPr>
      <w:r>
        <w:rPr>
          <w:b/>
          <w:bCs/>
          <w:lang w:val="el" w:eastAsia="el"/>
        </w:rPr>
        <w:t>Ο υπόχρεος που είναι κάτοχος πιστοποιητικού ΑΕΟ, συμπληρώνει το προβλεπόμενο για αυτό πεδίο της ΔΕΦΚ. Πιστοποιητικό ΑΕΟ που λαμβάνεται μετά την υποβολή της ΔΕΦΚ και κατά τη διάρκεια της τεθείσας από την ανωτέρω περ. α προθεσμίας δεν δύναται να χρησιμοποιηθεί για το ήδη υποβληθέν παραστατικό. Σε περίπτωση ανάκλησης του πιστοποιητικού ΑΕΟ, επανακαθορίζεται νέα προθεσμία, σύμφωνα με τα οριζόμενα στην περ. α και εάν ο χρόνος αυτής έχει παρέλθει, ο υπόχρεος οφείλει εντός μηνός να πραγματοποιήσει την εξαγωγή ή την ενδοκοινοτική παράδοση. Σε αντίθετη περίπτωση, καταβάλλεται ο αναλογών Φ.Π.Α.</w:t>
      </w:r>
    </w:p>
    <w:p>
      <w:pPr>
        <w:pStyle w:val="MainText"/>
        <w:spacing w:before="120" w:after="0"/>
        <w:rPr>
          <w:lang w:val="el" w:eastAsia="el"/>
        </w:rPr>
      </w:pPr>
      <w:r>
        <w:rPr>
          <w:b/>
          <w:bCs/>
          <w:lang w:val="el" w:eastAsia="el"/>
        </w:rPr>
        <w:t>2.</w:t>
      </w:r>
      <w:r>
        <w:rPr>
          <w:lang w:val="el" w:eastAsia="el"/>
        </w:rPr>
        <w:t xml:space="preserve"> </w:t>
      </w:r>
      <w:r>
        <w:rPr>
          <w:b/>
          <w:bCs/>
          <w:lang w:val="el" w:eastAsia="el"/>
        </w:rPr>
        <w:t>Μεταποιημένα αγαθά</w:t>
      </w:r>
    </w:p>
    <w:p>
      <w:pPr>
        <w:spacing w:before="240" w:after="240"/>
        <w:rPr>
          <w:lang w:val="el" w:eastAsia="el"/>
        </w:rPr>
      </w:pPr>
      <w:r>
        <w:rPr>
          <w:b/>
          <w:bCs/>
          <w:lang w:val="el" w:eastAsia="el"/>
        </w:rPr>
        <w:t>α. Η προθεσμία πραγματοποίησης της εξαγωγής ή της ενδοκοινοτικής παράδοσης κατ' εφαρμογή της παρούσας, εφόσον πρόκειται για πρώτες ή βοηθητικές ύλες που προορίζονται για την παραγωγή προϊόντων ύστερα από ειδική επεξεργασία, καθώς και για υλικά συσκευασίας που προορίζονται να χρησιμοποιηθούν από μεταποιητικές επιχειρήσεις για την παραγωγή ή τη συσκευασία προϊόντων τους τα οποία προορίζονται για εξαγωγή ή ενδοκοινοτική παράδοση, ορίζεται σε δέκα οκτώ (18) μήνες από την αποδοχή της ΔΕΦΚ με δυνατότητα παράτασης κατ΄ανώτατο όριο έως έξι (6) μήνες, τηρουμένης της διαδικασίας της κατωτέρω παρ. 3.</w:t>
      </w:r>
    </w:p>
    <w:p>
      <w:pPr>
        <w:spacing w:before="240" w:after="240"/>
        <w:rPr>
          <w:lang w:val="el" w:eastAsia="el"/>
        </w:rPr>
      </w:pPr>
      <w:r>
        <w:rPr>
          <w:b/>
          <w:bCs/>
          <w:lang w:val="el" w:eastAsia="el"/>
        </w:rPr>
        <w:t>β. Όταν ο υπόχρεος κατά τη χρονική στιγμή υποβολής της ΔΕΦΚ είναι κάτοχος πιστοποιητικού ΑΕΟ, η προθεσμία πραγματοποίησης της εξαγωγής ή της ενδοκοινοτικής παράδοσης κατ' εφαρμογή της παρούσας, των αγαθών της ανωτέρω περ. α ορίζεται σε τριάντα δύο (32) μήνες από την αποδοχή της, με δυνατότητα παράτασης κατ΄ανώτατο όριο έως οκτώ (8) μήνες, τηρουμένης της διαδικασίας της κατωτέρω παρ. 3.</w:t>
      </w:r>
    </w:p>
    <w:p>
      <w:pPr>
        <w:spacing w:before="240" w:after="240"/>
        <w:rPr>
          <w:lang w:val="el" w:eastAsia="el"/>
        </w:rPr>
      </w:pPr>
      <w:r>
        <w:rPr>
          <w:b/>
          <w:bCs/>
          <w:lang w:val="el" w:eastAsia="el"/>
        </w:rPr>
        <w:t>Ο υπόχρεος που είναι κάτοχος πιστοποιητικού ΑΕΟ συμπληρώνει το προβλεπόμενο για αυτό πεδίο της ΔΕΦΚ. Πιστοποιητικό ΑΕΟ που λαμβάνεται μετά την υποβολή της ΔΕΦΚ και κατά τη διάρκεια της τεθείσας προθεσμίας από την ανωτέρω περ. α δεν δύναται να χρησιμοποιηθεί για το ήδη υποβληθέν παραστατικό. Σε περίπτωση ανάκλησης του πιστοποιητικού ΑΕΟ, επανακαθορίζεται νέα προθεσμία, σύμφωνα με τα οριζόμενα στην περ. α και εάν ο χρόνος αυτής έχει παρέλθει, καταβάλλεται ο αναλογών Φ.Π.Α.</w:t>
      </w:r>
    </w:p>
    <w:p>
      <w:pPr>
        <w:pStyle w:val="MainText"/>
        <w:spacing w:before="120" w:after="0"/>
        <w:rPr>
          <w:lang w:val="el" w:eastAsia="el"/>
        </w:rPr>
      </w:pPr>
      <w:r>
        <w:rPr>
          <w:b/>
          <w:bCs/>
          <w:lang w:val="el" w:eastAsia="el"/>
        </w:rPr>
        <w:t>3.</w:t>
      </w:r>
      <w:r>
        <w:rPr>
          <w:lang w:val="el" w:eastAsia="el"/>
        </w:rPr>
        <w:t xml:space="preserve"> </w:t>
      </w:r>
      <w:r>
        <w:rPr>
          <w:b/>
          <w:bCs/>
          <w:lang w:val="el" w:eastAsia="el"/>
        </w:rPr>
        <w:t>Παράταση</w:t>
      </w:r>
    </w:p>
    <w:p>
      <w:pPr>
        <w:spacing w:before="240" w:after="240"/>
        <w:rPr>
          <w:lang w:val="el" w:eastAsia="el"/>
        </w:rPr>
      </w:pPr>
      <w:r>
        <w:rPr>
          <w:b/>
          <w:bCs/>
          <w:lang w:val="el" w:eastAsia="el"/>
        </w:rPr>
        <w:t>Η κατά περίπτωση προβλεπόμενη στις ανωτέρω παρ. 1 και 2 παράταση της προθεσμίας εγκρίνεται για δικαιολογημένη αιτία και για τη χορήγηση αυτής, υποβάλλεται σχετική αίτηση από τον υπόχρεο προς τον Προϊστάμενο της αρμόδιας Τελωνειακής Περιφέρειας, πριν από τη λήξη της αρχικής αντίστοιχης προθεσμίας. Αντίγραφο του σχετικού με τη χορήγηση της παράτασης εγγράφου, τηρείται στο Τελωνείο Ελέγχου.</w:t>
      </w:r>
    </w:p>
    <w:p>
      <w:pPr>
        <w:spacing w:before="240" w:after="240"/>
        <w:rPr>
          <w:lang w:val="el" w:eastAsia="el"/>
        </w:rPr>
      </w:pPr>
      <w:r>
        <w:rPr>
          <w:b/>
          <w:bCs/>
          <w:lang w:val="el" w:eastAsia="el"/>
        </w:rPr>
        <w:t>Η παράταση χορηγείται, μετά από σύμφωνη γνώμη του Προϊσταμένου του Τελωνείου Ελέγχου, ύστερα από διαπίστωση των λόγων της πραγματικής αδυναμίας πραγματοποίησης της εξαγωγής ή της ενδοκοινοτικής παράδοσης εντός της αρχικής ορισθείσας προθεσμίας.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Οριστικοποίηση της απαλλαγής από τον Φ.Π.Α. - Ενέργειες τελωνειακών αρχών</w:t>
      </w:r>
    </w:p>
    <w:p>
      <w:pPr>
        <w:spacing w:before="240" w:after="240"/>
        <w:rPr>
          <w:lang w:val="el" w:eastAsia="el"/>
        </w:rPr>
      </w:pPr>
      <w:r>
        <w:rPr>
          <w:b/>
          <w:bCs/>
          <w:lang w:val="el" w:eastAsia="el"/>
        </w:rPr>
        <w:t>Α. Οριστικοποίηση της απαλλαγής της παράδοσης ή της ενδοκοινοτικής απόκτησης αγαθών που προορίζονται για παράδοση σε άλλο κράτος μέλος της Ε.Ε.</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την οριστικοποίηση της απαλλαγής από τον Φ.Π.Α. της παράδοσης ή της ενδοκοινοτικής απόκτησης των αγαθών που προορίζονται για παράδοση σε άλλο κράτος μέλος της Ε.Ε., ο υπόχρεος υποβολής της ΔΕΦΚ, το αργότερο εντός δύο (2) μηνών μετά τη λήξη της κατά περίπτωση προθεσμίας της Ενότητας Β του άρθρου 2, υποβάλει εκκαθαριστικό λογαριασμό, κατ΄εφαρμογή της υπό στοιχεία Α.1437/20.11.2019 απόφασης Διοικητή ΑΑΔΕ, στο Τελωνείο Ελέγχου. Στον εκκαθαριστικό λογαριασμό αναφέρονται, αναλυτικά για την εν λόγω παράδοση ή ενδοκοινοτική απόκτηση, οι ενδοκοινοτικές παραδόσεις που πραγματοποιήθηκαν εντός της ορισθείσας για την περίπτωση αυτή στην Ενότητα Β προθεσμίας και θα συμπεριλαμβάνονται σε αυτόν, τουλάχιστον τα εξής στοιχεία, με σχετική αντιστοίχιση:</w:t>
      </w:r>
    </w:p>
    <w:p>
      <w:pPr>
        <w:spacing w:before="240" w:after="240"/>
        <w:rPr>
          <w:lang w:val="el" w:eastAsia="el"/>
        </w:rPr>
      </w:pPr>
      <w:r>
        <w:rPr>
          <w:lang w:val="el" w:eastAsia="el"/>
        </w:rPr>
        <w:t xml:space="preserve">⮚ </w:t>
      </w:r>
      <w:r>
        <w:rPr>
          <w:b/>
          <w:bCs/>
          <w:lang w:val="el" w:eastAsia="el"/>
        </w:rPr>
        <w:t>τα πλήρη στοιχεία του υπόχρεου προσώπου</w:t>
      </w:r>
    </w:p>
    <w:p>
      <w:pPr>
        <w:spacing w:before="240" w:after="240"/>
        <w:rPr>
          <w:lang w:val="el" w:eastAsia="el"/>
        </w:rPr>
      </w:pPr>
      <w:r>
        <w:rPr>
          <w:lang w:val="el" w:eastAsia="el"/>
        </w:rPr>
        <w:t xml:space="preserve">⮚ </w:t>
      </w:r>
      <w:r>
        <w:rPr>
          <w:b/>
          <w:bCs/>
          <w:lang w:val="el" w:eastAsia="el"/>
        </w:rPr>
        <w:t>MRN της Δήλωσης Ειδικού Φόρου Κατανάλωσης και Λοιπών Φορολογιών</w:t>
      </w:r>
    </w:p>
    <w:p>
      <w:pPr>
        <w:spacing w:before="240" w:after="240"/>
        <w:rPr>
          <w:lang w:val="el" w:eastAsia="el"/>
        </w:rPr>
      </w:pPr>
      <w:r>
        <w:rPr>
          <w:lang w:val="el" w:eastAsia="el"/>
        </w:rPr>
        <w:t xml:space="preserve">⮚ </w:t>
      </w:r>
      <w:r>
        <w:rPr>
          <w:b/>
          <w:bCs/>
          <w:lang w:val="el" w:eastAsia="el"/>
        </w:rPr>
        <w:t>Αριθμός Βιβλίου Μητρώου Ειδικού Διπλότυπου Δελτίου Απαλλαγής από το Φ.Π.Α., κατ΄εφαρμογή της υπό στοιχεία ΠΟΛ.1167/2015 απόφασης Διοικητή ΑΑΔΕ</w:t>
      </w:r>
    </w:p>
    <w:p>
      <w:pPr>
        <w:spacing w:before="240" w:after="240"/>
        <w:rPr>
          <w:lang w:val="el" w:eastAsia="el"/>
        </w:rPr>
      </w:pPr>
      <w:r>
        <w:rPr>
          <w:lang w:val="el" w:eastAsia="el"/>
        </w:rPr>
        <w:t xml:space="preserve">⮚ </w:t>
      </w:r>
      <w:r>
        <w:rPr>
          <w:b/>
          <w:bCs/>
          <w:lang w:val="el" w:eastAsia="el"/>
        </w:rPr>
        <w:t>η προθεσμία για την πραγματοποίηση της ενδοκοινοτικής παράδοσης αγαθών</w:t>
      </w:r>
    </w:p>
    <w:p>
      <w:pPr>
        <w:spacing w:before="240" w:after="240"/>
        <w:rPr>
          <w:lang w:val="el" w:eastAsia="el"/>
        </w:rPr>
      </w:pPr>
      <w:r>
        <w:rPr>
          <w:lang w:val="el" w:eastAsia="el"/>
        </w:rPr>
        <w:t xml:space="preserve">⮚ </w:t>
      </w:r>
      <w:r>
        <w:rPr>
          <w:b/>
          <w:bCs/>
          <w:lang w:val="el" w:eastAsia="el"/>
        </w:rPr>
        <w:t>ο αρ. Τιμολογίου Πώλησης/Ημερομηνία έκδοσης</w:t>
      </w:r>
    </w:p>
    <w:p>
      <w:pPr>
        <w:spacing w:before="240" w:after="240"/>
        <w:rPr>
          <w:lang w:val="el" w:eastAsia="el"/>
        </w:rPr>
      </w:pPr>
      <w:r>
        <w:rPr>
          <w:lang w:val="el" w:eastAsia="el"/>
        </w:rPr>
        <w:t xml:space="preserve">⮚ </w:t>
      </w:r>
      <w:r>
        <w:rPr>
          <w:b/>
          <w:bCs/>
          <w:lang w:val="el" w:eastAsia="el"/>
        </w:rPr>
        <w:t>ο αρ. Αποδεικτικού Τράπεζας ή/και σχετική μνεία στην περίπτωση τμηματικής καταβολής</w:t>
      </w:r>
    </w:p>
    <w:p>
      <w:pPr>
        <w:spacing w:before="240" w:after="240"/>
        <w:rPr>
          <w:lang w:val="el" w:eastAsia="el"/>
        </w:rPr>
      </w:pPr>
      <w:r>
        <w:rPr>
          <w:lang w:val="el" w:eastAsia="el"/>
        </w:rPr>
        <w:t xml:space="preserve">⮚ </w:t>
      </w:r>
      <w:r>
        <w:rPr>
          <w:b/>
          <w:bCs/>
          <w:lang w:val="el" w:eastAsia="el"/>
        </w:rPr>
        <w:t>ο αρ. Ανακεφαλαιωτικού Πίνακα Ενδοκοινοτικών Παραδόσεων</w:t>
      </w:r>
    </w:p>
    <w:p>
      <w:pPr>
        <w:spacing w:before="240" w:after="240"/>
        <w:rPr>
          <w:lang w:val="el" w:eastAsia="el"/>
        </w:rPr>
      </w:pPr>
      <w:r>
        <w:rPr>
          <w:lang w:val="el" w:eastAsia="el"/>
        </w:rPr>
        <w:t xml:space="preserve">⮚ </w:t>
      </w:r>
      <w:r>
        <w:rPr>
          <w:b/>
          <w:bCs/>
          <w:lang w:val="el" w:eastAsia="el"/>
        </w:rPr>
        <w:t>ο αρ. Στατιστικής Δήλωσης (intrastat)</w:t>
      </w:r>
    </w:p>
    <w:p>
      <w:pPr>
        <w:spacing w:before="240" w:after="240"/>
        <w:rPr>
          <w:lang w:val="el" w:eastAsia="el"/>
        </w:rPr>
      </w:pPr>
      <w:r>
        <w:rPr>
          <w:lang w:val="el" w:eastAsia="el"/>
        </w:rPr>
        <w:t xml:space="preserve">⮚ </w:t>
      </w:r>
      <w:r>
        <w:rPr>
          <w:b/>
          <w:bCs/>
          <w:lang w:val="el" w:eastAsia="el"/>
        </w:rPr>
        <w:t>ο αρ. φορτωτικής</w:t>
      </w:r>
    </w:p>
    <w:p>
      <w:pPr>
        <w:spacing w:before="240" w:after="240"/>
        <w:rPr>
          <w:lang w:val="el" w:eastAsia="el"/>
        </w:rPr>
      </w:pPr>
      <w:r>
        <w:rPr>
          <w:lang w:val="el" w:eastAsia="el"/>
        </w:rPr>
        <w:t xml:space="preserve">⮚ </w:t>
      </w:r>
      <w:r>
        <w:rPr>
          <w:b/>
          <w:bCs/>
          <w:lang w:val="el" w:eastAsia="el"/>
        </w:rPr>
        <w:t>οι ακριβείς ποσότητες αγαθών που παραδόθηκαν στο εσωτερικό της χώρας ή αποκτήθηκαν από άλλο κράτος μέλος, αυτούσιων και μεταποιημένων, καθώς και ο συντελεστής απόδοσης αυτών.</w:t>
      </w:r>
    </w:p>
    <w:p>
      <w:pPr>
        <w:pStyle w:val="MainText"/>
        <w:spacing w:before="120" w:after="0"/>
        <w:rPr>
          <w:lang w:val="el" w:eastAsia="el"/>
        </w:rPr>
      </w:pPr>
      <w:r>
        <w:rPr>
          <w:b/>
          <w:bCs/>
          <w:lang w:val="el" w:eastAsia="el"/>
        </w:rPr>
        <w:t>2.</w:t>
      </w:r>
      <w:r>
        <w:rPr>
          <w:lang w:val="el" w:eastAsia="el"/>
        </w:rPr>
        <w:t xml:space="preserve"> </w:t>
      </w:r>
      <w:r>
        <w:rPr>
          <w:b/>
          <w:bCs/>
          <w:lang w:val="el" w:eastAsia="el"/>
        </w:rPr>
        <w:t>Ο υπόχρεος υποβολής της ΔΕΦΚ, για την απόδειξη της ενδοκοινοτικής παράδοσης των αγαθών, τηρεί υποχρεωτικά στο αρχείο της επιχείρησής του τα δικαιολογητικά που αναφέρονται στον εκκαθαριστικό λογαριασμό της παρ.1.</w:t>
      </w:r>
    </w:p>
    <w:p>
      <w:pPr>
        <w:spacing w:before="240" w:after="240"/>
        <w:rPr>
          <w:lang w:val="el" w:eastAsia="el"/>
        </w:rPr>
      </w:pPr>
      <w:r>
        <w:rPr>
          <w:b/>
          <w:bCs/>
          <w:lang w:val="el" w:eastAsia="el"/>
        </w:rPr>
        <w:t>Β. Οριστικοποίηση της απαλλαγής της παράδοσης ή της ενδοκοινοτικής απόκτησης αγαθών που προορίζονται για εξαγωγή</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την οριστικοποίηση της απαλλαγής από τον Φ.Π.Α. της παράδοσης ή της ενδοκοινοτικής απόκτησης των αγαθών που προορίζονται για εξαγωγή, ο υπόχρεος υποβολής της ΔΕΦΚ, το αργότερο εντός δύο (2) μηνών μετά τη λήξη της κατά περίπτωση προθεσμίας της Ενότητας Β του άρθρου 2, υποβάλει εκκαθαριστικό λογαριασμό, κατ΄εφαρμογή της υπό στοιχεία Α.1437/20.11.2019 απόφασης Διοικητή ΑΑΔΕ, στο Τελωνείο Ελέγχου. Στον εκκαθαριστικό λογαριασμό αναφέρονται, αναλυτικά για την εν λόγω παράδοση ή ενδοκοινοτική απόκτηση, οι εξαγωγές που πραγματοποιήθηκαν εντός της ορισθείσας στην Ενότητα Β προθεσμίας και θα συμπεριλαμβάνονται σε αυτόν τουλάχιστον τα εξής στοιχεία, με σχετική αντιστοίχιση:</w:t>
      </w:r>
    </w:p>
    <w:p>
      <w:pPr>
        <w:spacing w:before="240" w:after="240"/>
        <w:rPr>
          <w:lang w:val="el" w:eastAsia="el"/>
        </w:rPr>
      </w:pPr>
      <w:r>
        <w:rPr>
          <w:lang w:val="el" w:eastAsia="el"/>
        </w:rPr>
        <w:t xml:space="preserve">⮚ </w:t>
      </w:r>
      <w:r>
        <w:rPr>
          <w:b/>
          <w:bCs/>
          <w:lang w:val="el" w:eastAsia="el"/>
        </w:rPr>
        <w:t>τα πλήρη στοιχεία του υπόχρεου προσώπου</w:t>
      </w:r>
    </w:p>
    <w:p>
      <w:pPr>
        <w:spacing w:before="240" w:after="240"/>
        <w:rPr>
          <w:lang w:val="el" w:eastAsia="el"/>
        </w:rPr>
      </w:pPr>
      <w:r>
        <w:rPr>
          <w:lang w:val="el" w:eastAsia="el"/>
        </w:rPr>
        <w:t xml:space="preserve">⮚ </w:t>
      </w:r>
      <w:r>
        <w:rPr>
          <w:b/>
          <w:bCs/>
          <w:lang w:val="el" w:eastAsia="el"/>
        </w:rPr>
        <w:t>το MRN της Δήλωσης Ειδικού Φόρου Κατανάλωσης και Λοιπών Φορολογιών</w:t>
      </w:r>
    </w:p>
    <w:p>
      <w:pPr>
        <w:spacing w:before="240" w:after="240"/>
        <w:rPr>
          <w:lang w:val="el" w:eastAsia="el"/>
        </w:rPr>
      </w:pPr>
      <w:r>
        <w:rPr>
          <w:lang w:val="el" w:eastAsia="el"/>
        </w:rPr>
        <w:t xml:space="preserve">&gt; </w:t>
      </w:r>
      <w:r>
        <w:rPr>
          <w:b/>
          <w:bCs/>
          <w:lang w:val="el" w:eastAsia="el"/>
        </w:rPr>
        <w:t>ο Αριθμός Βιβλίου Μητρώου Ειδικού Διπλότυπου Δελτίου Απαλλαγής από το Φ.Π.Α., κατ΄εφαρμογή της υπό στοιχεία ΠΟΛ.1167/2015 απόφασης Διοικητή ΑΑΔΕ</w:t>
      </w:r>
    </w:p>
    <w:p>
      <w:pPr>
        <w:spacing w:before="240" w:after="240"/>
        <w:rPr>
          <w:lang w:val="el" w:eastAsia="el"/>
        </w:rPr>
      </w:pPr>
      <w:r>
        <w:rPr>
          <w:lang w:val="el" w:eastAsia="el"/>
        </w:rPr>
        <w:t xml:space="preserve">&gt; </w:t>
      </w:r>
      <w:r>
        <w:rPr>
          <w:b/>
          <w:bCs/>
          <w:lang w:val="el" w:eastAsia="el"/>
        </w:rPr>
        <w:t>η προθεσμία για την πραγματοποίηση της ενδοκοινοτικής παράδοσης αγαθών</w:t>
      </w:r>
    </w:p>
    <w:p>
      <w:pPr>
        <w:spacing w:before="240" w:after="240"/>
        <w:rPr>
          <w:lang w:val="el" w:eastAsia="el"/>
        </w:rPr>
      </w:pPr>
      <w:r>
        <w:rPr>
          <w:lang w:val="el" w:eastAsia="el"/>
        </w:rPr>
        <w:t xml:space="preserve">&gt; </w:t>
      </w:r>
      <w:r>
        <w:rPr>
          <w:b/>
          <w:bCs/>
          <w:lang w:val="el" w:eastAsia="el"/>
        </w:rPr>
        <w:t>ο αρ. Τιμολογίου Πώλησης/Ημερομηνία έκδοσης</w:t>
      </w:r>
    </w:p>
    <w:p>
      <w:pPr>
        <w:spacing w:before="240" w:after="240"/>
        <w:rPr>
          <w:lang w:val="el" w:eastAsia="el"/>
        </w:rPr>
      </w:pPr>
      <w:r>
        <w:rPr>
          <w:lang w:val="el" w:eastAsia="el"/>
        </w:rPr>
        <w:t xml:space="preserve">&gt; </w:t>
      </w:r>
      <w:r>
        <w:rPr>
          <w:b/>
          <w:bCs/>
          <w:lang w:val="el" w:eastAsia="el"/>
        </w:rPr>
        <w:t>ο αρ. Αποδεικτικού Τράπεζας ή/και σχετική μνεία στην περίπτωση τμηματικής καταβολής</w:t>
      </w:r>
    </w:p>
    <w:p>
      <w:pPr>
        <w:spacing w:before="240" w:after="240"/>
        <w:rPr>
          <w:lang w:val="el" w:eastAsia="el"/>
        </w:rPr>
      </w:pPr>
      <w:r>
        <w:rPr>
          <w:lang w:val="el" w:eastAsia="el"/>
        </w:rPr>
        <w:t xml:space="preserve">&gt; </w:t>
      </w:r>
      <w:r>
        <w:rPr>
          <w:b/>
          <w:bCs/>
          <w:lang w:val="el" w:eastAsia="el"/>
        </w:rPr>
        <w:t>το MRN της Διασάφησης Εξαγωγής</w:t>
      </w:r>
    </w:p>
    <w:p>
      <w:pPr>
        <w:spacing w:before="240" w:after="240"/>
        <w:rPr>
          <w:lang w:val="el" w:eastAsia="el"/>
        </w:rPr>
      </w:pPr>
      <w:r>
        <w:rPr>
          <w:lang w:val="el" w:eastAsia="el"/>
        </w:rPr>
        <w:t xml:space="preserve">&gt; </w:t>
      </w:r>
      <w:r>
        <w:rPr>
          <w:b/>
          <w:bCs/>
          <w:lang w:val="el" w:eastAsia="el"/>
        </w:rPr>
        <w:t>ο αρ. φορτωτικής</w:t>
      </w:r>
    </w:p>
    <w:p>
      <w:pPr>
        <w:spacing w:before="240" w:after="240"/>
        <w:rPr>
          <w:lang w:val="el" w:eastAsia="el"/>
        </w:rPr>
      </w:pPr>
      <w:r>
        <w:rPr>
          <w:lang w:val="el" w:eastAsia="el"/>
        </w:rPr>
        <w:t xml:space="preserve">&gt; </w:t>
      </w:r>
      <w:r>
        <w:rPr>
          <w:b/>
          <w:bCs/>
          <w:lang w:val="el" w:eastAsia="el"/>
        </w:rPr>
        <w:t>οι ακριβείς ποσότητες αγαθών που παραδόθηκαν στο εσωτερικό της χώρας ή αποκτήθηκαν από άλλο κράτος μέλος, αυτούσιων και μεταποιημένων, καθώς και ο συντελεστής απόδοσης αυτών.</w:t>
      </w:r>
    </w:p>
    <w:p>
      <w:pPr>
        <w:pStyle w:val="MainText"/>
        <w:spacing w:before="120" w:after="0"/>
        <w:rPr>
          <w:lang w:val="el" w:eastAsia="el"/>
        </w:rPr>
      </w:pPr>
      <w:r>
        <w:rPr>
          <w:b/>
          <w:bCs/>
          <w:lang w:val="el" w:eastAsia="el"/>
        </w:rPr>
        <w:t>2.</w:t>
      </w:r>
      <w:r>
        <w:rPr>
          <w:lang w:val="el" w:eastAsia="el"/>
        </w:rPr>
        <w:t xml:space="preserve"> </w:t>
      </w:r>
      <w:r>
        <w:rPr>
          <w:b/>
          <w:bCs/>
          <w:lang w:val="el" w:eastAsia="el"/>
        </w:rPr>
        <w:t>Ο υπόχρεος υποβολής της ΔΕΦΚ, για την απόδειξη της εξαγωγής των αγαθών, τηρεί υποχρεωτικά στο αρχείο της επιχείρησής του τα δικαιολογητικά που αναφέρονται στον εκκαθαριστικό λογαριασμό της παρ.1.</w:t>
      </w:r>
    </w:p>
    <w:p>
      <w:pPr>
        <w:spacing w:before="240" w:after="240"/>
        <w:rPr>
          <w:lang w:val="el" w:eastAsia="el"/>
        </w:rPr>
      </w:pPr>
      <w:r>
        <w:rPr>
          <w:b/>
          <w:bCs/>
          <w:lang w:val="el" w:eastAsia="el"/>
        </w:rPr>
        <w:t>Γ. Λοιπές διατυπώσεις απαλλαγής από τον Φ.Π.Α.</w:t>
      </w:r>
    </w:p>
    <w:p>
      <w:pPr>
        <w:pStyle w:val="MainText"/>
        <w:spacing w:before="120" w:after="0"/>
        <w:rPr>
          <w:lang w:val="el" w:eastAsia="el"/>
        </w:rPr>
      </w:pPr>
      <w:r>
        <w:rPr>
          <w:b/>
          <w:bCs/>
          <w:lang w:val="el" w:eastAsia="el"/>
        </w:rPr>
        <w:t>1.</w:t>
      </w:r>
      <w:r>
        <w:rPr>
          <w:lang w:val="el" w:eastAsia="el"/>
        </w:rPr>
        <w:t xml:space="preserve"> </w:t>
      </w:r>
      <w:r>
        <w:rPr>
          <w:b/>
          <w:bCs/>
          <w:lang w:val="el" w:eastAsia="el"/>
        </w:rPr>
        <w:t>Η πληρωμή του τιμολογίου διενεργείται υποχρεωτικά μέσω τραπέζης, εκτός των περιπτώσεων που γίνεται αποδεδειγμένα συμψηφισμός υποχρεώσεων ή απαιτήσεων μεταξύ των εμπλεκόμενων επιχειρήσεων.</w:t>
      </w:r>
    </w:p>
    <w:p>
      <w:pPr>
        <w:pStyle w:val="MainText"/>
        <w:spacing w:before="120" w:after="0"/>
        <w:rPr>
          <w:lang w:val="el" w:eastAsia="el"/>
        </w:rPr>
      </w:pPr>
      <w:r>
        <w:rPr>
          <w:b/>
          <w:bCs/>
          <w:lang w:val="el" w:eastAsia="el"/>
        </w:rPr>
        <w:t>2.</w:t>
      </w:r>
      <w:r>
        <w:rPr>
          <w:lang w:val="el" w:eastAsia="el"/>
        </w:rPr>
        <w:t xml:space="preserve"> </w:t>
      </w:r>
      <w:r>
        <w:rPr>
          <w:b/>
          <w:bCs/>
          <w:lang w:val="el" w:eastAsia="el"/>
        </w:rPr>
        <w:t>Τα δικαιολογητικά έγγραφα της απαλλαγής τηρούνται από τον υπόχρεο με τέτοιο τρόπο, ώστε να είναι ευχερής ο τελωνειακός έλεγχος.</w:t>
      </w:r>
    </w:p>
    <w:p>
      <w:pPr>
        <w:pStyle w:val="MainText"/>
        <w:spacing w:before="120" w:after="0"/>
        <w:rPr>
          <w:lang w:val="el" w:eastAsia="el"/>
        </w:rPr>
      </w:pPr>
      <w:r>
        <w:rPr>
          <w:b/>
          <w:bCs/>
          <w:lang w:val="el" w:eastAsia="el"/>
        </w:rPr>
        <w:t>3.</w:t>
      </w:r>
      <w:r>
        <w:rPr>
          <w:lang w:val="el" w:eastAsia="el"/>
        </w:rPr>
        <w:t xml:space="preserve"> </w:t>
      </w:r>
      <w:r>
        <w:rPr>
          <w:b/>
          <w:bCs/>
          <w:lang w:val="el" w:eastAsia="el"/>
        </w:rPr>
        <w:t>Για ενδοκοινοτικές παραδόσεις και εξαγωγές αγαθών που αφορούν στην ίδια ΔΕΦΚ, υποβάλλεται ένας ενιαίος εκκαθαριστικός λογαριασμός.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Μη οριστικοποίηση της απαλλαγής από τον Φ.Π.Α. - Παραβάσεις</w:t>
      </w:r>
    </w:p>
    <w:p>
      <w:pPr>
        <w:pStyle w:val="MainText"/>
        <w:spacing w:before="120" w:after="0"/>
        <w:rPr>
          <w:lang w:val="el" w:eastAsia="el"/>
        </w:rPr>
      </w:pPr>
      <w:r>
        <w:rPr>
          <w:b/>
          <w:bCs/>
          <w:lang w:val="el" w:eastAsia="el"/>
        </w:rPr>
        <w:t>1.</w:t>
      </w:r>
      <w:r>
        <w:rPr>
          <w:lang w:val="el" w:eastAsia="el"/>
        </w:rPr>
        <w:t xml:space="preserve"> </w:t>
      </w:r>
      <w:r>
        <w:rPr>
          <w:b/>
          <w:bCs/>
          <w:lang w:val="el" w:eastAsia="el"/>
        </w:rPr>
        <w:t>Εάν ο υπόχρεος υποβολής της ΔΕΦΚ δεν πραγματοποιήσει, εντός της κατά περίπτωση προβλεπόμενης από το άρθρο 2 προθεσμίας, την εξαγωγή ή την ενδοκοινοτική παράδοση στο άλλο κράτος μέλος της Ε.Ε. των αγαθών που παρέλαβε με απαλλαγή από Φ.Π.Α., συνεπεία παράδοσης ή ενδοκοινοτικής απόκτησης, υποχρεούται, με τη λήξη της αρχικής ή της κατά περίπτωση παράτασης προθεσμίας, να καταβάλει άμεσα στο αρμόδιο Τελωνείο Ελέγχου τον αναλογούντα Φ.Π.Α.</w:t>
      </w:r>
    </w:p>
    <w:p>
      <w:pPr>
        <w:pStyle w:val="MainText"/>
        <w:spacing w:before="120" w:after="0"/>
        <w:rPr>
          <w:lang w:val="el" w:eastAsia="el"/>
        </w:rPr>
      </w:pPr>
      <w:r>
        <w:rPr>
          <w:b/>
          <w:bCs/>
          <w:lang w:val="el" w:eastAsia="el"/>
        </w:rPr>
        <w:t>2.</w:t>
      </w:r>
      <w:r>
        <w:rPr>
          <w:lang w:val="el" w:eastAsia="el"/>
        </w:rPr>
        <w:t xml:space="preserve"> </w:t>
      </w:r>
      <w:r>
        <w:rPr>
          <w:b/>
          <w:bCs/>
          <w:lang w:val="el" w:eastAsia="el"/>
        </w:rPr>
        <w:t>Σε περίπτωση μη άμεσης καταβολής του οφειλόμενου ποσού Φ.Π.Α. υπολογίζονται, από την επομένη της λήξης της αρχικής ή της κατά περίπτωση παράτασης προθεσμίας, τόκοι εκπρόθεσμης καταβολής.</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παρέλευσης της οριζόμενης κατά περίπτωση από το άρθρο 3 προθεσμίας υποβολής του εκκαθαριστικού λογαριασμού, το Τελωνείο Ελέγχου επιβάλλει το πρόστιμο της παρ. 2 του άρθρου 147 του ν. 2960/2001 και προβαίνει σε σχετικό έλεγχο για τη διαπίστωση της πραγματοποίησης της εξαγωγής ή της ενδοκοινοτικής παράδοσης.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Εξαιρέσεις δικαιώματος απαλλαγής από τον Φ.Π.Α.</w:t>
      </w:r>
    </w:p>
    <w:p>
      <w:pPr>
        <w:pStyle w:val="MainText"/>
        <w:spacing w:before="120" w:after="0"/>
        <w:rPr>
          <w:lang w:val="el" w:eastAsia="el"/>
        </w:rPr>
      </w:pPr>
      <w:r>
        <w:rPr>
          <w:b/>
          <w:bCs/>
          <w:lang w:val="el" w:eastAsia="el"/>
        </w:rPr>
        <w:t>1.</w:t>
      </w:r>
      <w:r>
        <w:rPr>
          <w:lang w:val="el" w:eastAsia="el"/>
        </w:rPr>
        <w:t xml:space="preserve"> </w:t>
      </w:r>
      <w:r>
        <w:rPr>
          <w:b/>
          <w:bCs/>
          <w:lang w:val="el" w:eastAsia="el"/>
        </w:rPr>
        <w:t>Δεν παρέχεται δικαίωμα απαλλαγής, σύμφωνα με τα οριζόμενα στην παρούσα, σε περίπτωση που ο υπόχρεος έχει τελέσει παράβαση λαθρεμπορίας, κατά την έννοια του άρθρου 155 του ν.2960/2001, εκτός κι εάν υπαχθεί στις διατάξεις του άρθρου 158 του ως άνω νόμου.</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την εφαρμογή των οριζομένων στην παρ. 1, αρκεί η διαπίστωση της λαθρεμπορίας με τη σύνταξη πρωτοκόλλου τελωνειακής παράβασης κατ΄εφαρμογή του άρθρου 142 του ν.2960/2001.</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Έλεγχοι τελωνειακών αρχών</w:t>
      </w:r>
    </w:p>
    <w:p>
      <w:pPr>
        <w:spacing w:before="240" w:after="240"/>
        <w:rPr>
          <w:lang w:val="el" w:eastAsia="el"/>
        </w:rPr>
      </w:pPr>
      <w:r>
        <w:rPr>
          <w:b/>
          <w:bCs/>
          <w:lang w:val="el" w:eastAsia="el"/>
        </w:rPr>
        <w:t>Το Τελωνείο Ελέγχου είναι αρμόδιο να διενεργεί ελέγχους για τη διαπίστωση της ορθής εφαρμογής των οριζομένων στην παρούσα και εφόσον κρίνεται απαραίτητο να ζητά τη συνδρομή του τελωνείου, στη χωρική αρμοδιότητα του οποίου βρίσκεται η έδρα του υπόχρεου υποβολής της ΔΕΦΚ προσώπου ή ο τόπος που τηρούνται τα λογιστικά του αρχεία, σύμφωνα με τον ν. 4308/2014 «Ελληνικά Λογιστικά πρότυπα, συναφείς ρυθμίσεις και άλλες διατάξεις» (Α΄251).</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παρούσα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παρούσα να δημοσιευθεί στην Εφημερίδα της Κυβερνήσεως.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ΠΡΟΣ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Τελωνεία</w:t>
      </w:r>
    </w:p>
    <w:p>
      <w:pPr>
        <w:pStyle w:val="MainText"/>
        <w:spacing w:before="120" w:after="0"/>
        <w:rPr>
          <w:lang w:val="el" w:eastAsia="el"/>
        </w:rPr>
      </w:pPr>
      <w:r>
        <w:rPr>
          <w:b/>
          <w:bCs/>
          <w:lang w:val="el" w:eastAsia="el"/>
        </w:rPr>
        <w:t>2.</w:t>
      </w:r>
      <w:r>
        <w:rPr>
          <w:lang w:val="el" w:eastAsia="el"/>
        </w:rPr>
        <w:t xml:space="preserve"> </w:t>
      </w:r>
      <w:r>
        <w:rPr>
          <w:b/>
          <w:bCs/>
          <w:lang w:val="el" w:eastAsia="el"/>
        </w:rPr>
        <w:t>Τελωνειακές Περιφέρειες</w:t>
      </w:r>
    </w:p>
    <w:p>
      <w:pPr>
        <w:pStyle w:val="MainText"/>
        <w:spacing w:before="120" w:after="0"/>
        <w:rPr>
          <w:lang w:val="el" w:eastAsia="el"/>
        </w:rPr>
      </w:pPr>
      <w:r>
        <w:rPr>
          <w:b/>
          <w:bCs/>
          <w:lang w:val="el" w:eastAsia="el"/>
        </w:rPr>
        <w:t>3.</w:t>
      </w:r>
      <w:r>
        <w:rPr>
          <w:lang w:val="el" w:eastAsia="el"/>
        </w:rPr>
        <w:t xml:space="preserve"> </w:t>
      </w:r>
      <w:r>
        <w:rPr>
          <w:b/>
          <w:bCs/>
          <w:lang w:val="el" w:eastAsia="el"/>
        </w:rPr>
        <w:t>Δ/νση Στρατηγικής Τεχνολογιών Πληροφορικής (ΔΙ.Σ.ΤΕ.ΠΛ.) της Γ.Δ.ΗΕΛ.Δ. (για την ενημέρωση της Ηλεκτρονικής Βιβλιοθήκης και του portal της Α.Α.Δ.Ε) (e-mail :</w:t>
      </w:r>
      <w:hyperlink r:id="rId4" w:history="1">
        <w:r>
          <w:rPr>
            <w:rStyle w:val="Hyperlink"/>
            <w:b/>
            <w:bCs/>
            <w:color w:val="0000EE"/>
            <w:u w:color="0000EE"/>
            <w:lang w:val="el" w:eastAsia="el"/>
          </w:rPr>
          <w:t>siteadmin@ aade .gr</w:t>
        </w:r>
        <w:r>
          <w:rPr>
            <w:rStyle w:val="Hyperlink"/>
            <w:b/>
            <w:bCs/>
            <w:color w:val="0000EE"/>
            <w:u w:color="0000EE"/>
            <w:lang w:val="el" w:eastAsia="el"/>
          </w:rPr>
          <w:t>)</w:t>
        </w:r>
      </w:hyperlink>
    </w:p>
    <w:p>
      <w:pPr>
        <w:pStyle w:val="MainText"/>
        <w:spacing w:before="120" w:after="0"/>
        <w:rPr>
          <w:lang w:val="el" w:eastAsia="el"/>
        </w:rPr>
      </w:pPr>
      <w:r>
        <w:rPr>
          <w:b/>
          <w:bCs/>
          <w:lang w:val="el" w:eastAsia="el"/>
        </w:rPr>
        <w:t>4.</w:t>
      </w:r>
      <w:r>
        <w:rPr>
          <w:b/>
          <w:bCs/>
          <w:lang w:val="el" w:eastAsia="el"/>
        </w:rPr>
        <w:t xml:space="preserve"> </w:t>
      </w:r>
      <w:r>
        <w:rPr>
          <w:b/>
          <w:bCs/>
          <w:lang w:val="el" w:eastAsia="el"/>
        </w:rPr>
        <w:t>Εθνικό Τυπογραφείο για δημοσίευση της απόφασης</w:t>
      </w:r>
    </w:p>
    <w:p>
      <w:pPr>
        <w:spacing w:before="240" w:after="240"/>
        <w:rPr>
          <w:lang w:val="el" w:eastAsia="el"/>
        </w:rPr>
      </w:pPr>
      <w:r>
        <w:rPr>
          <w:b/>
          <w:bCs/>
          <w:lang w:val="el" w:eastAsia="el"/>
        </w:rPr>
        <w:t xml:space="preserve">Β. </w:t>
      </w:r>
      <w:r>
        <w:rPr>
          <w:b/>
          <w:bCs/>
          <w:u w:val="single"/>
          <w:lang w:val="el" w:eastAsia="el"/>
        </w:rPr>
        <w:t>ΑΠΟΔΕΚΤΕΣ ΠΡΟΣ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Εθνικής Οικονομίας &amp;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Εθνικής Οικονομίας &amp;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Υπηρεσίες Ερευνών και Διασφάλισης Δημοσίων Εσόδων (Υ.Ε.Δ.Δ.Ε.)</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Κεντρική Ένωση Επιμελητηρίων (Κ.Ε.Ε.) (με την παράκληση για την ενημέρωση των μελών τους)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Αποδέκτες Πίνακα Η΄</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Αποδέκτες Πίνακα ΙΒ΄</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Αποδέκτες Πίνακα ΙΣΤ΄</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Αποδέκτες Πίνακα ΚΓ΄</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Ελληνική Στατιστική Αρχή</w:t>
      </w:r>
    </w:p>
    <w:p>
      <w:pPr>
        <w:spacing w:before="240" w:after="240"/>
        <w:rPr>
          <w:lang w:val="el" w:eastAsia="el"/>
        </w:rPr>
      </w:pPr>
      <w:r>
        <w:rPr>
          <w:b/>
          <w:bCs/>
          <w:lang w:val="el" w:eastAsia="el"/>
        </w:rPr>
        <w:t xml:space="preserve">Γ. </w:t>
      </w:r>
      <w:r>
        <w:rPr>
          <w:b/>
          <w:bCs/>
          <w:u w:val="single"/>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ΑΑΔΕ κ. Γ. Πιτσιλή</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Αυτοτελές Τμήμα Υποστήριξης Γεν. Δ/νσης Τελωνείων &amp; Ε.Φ.Κ</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Γεν. Δ/νση Τελωνείων &amp; ΕΦΚ</w:t>
      </w:r>
    </w:p>
    <w:p>
      <w:pPr>
        <w:pStyle w:val="StructureList1"/>
        <w:spacing w:before="120" w:after="0"/>
        <w:rPr>
          <w:lang w:val="el" w:eastAsia="el"/>
        </w:rPr>
      </w:pPr>
      <w:r>
        <w:rPr>
          <w:b/>
          <w:bCs/>
          <w:lang w:val="el" w:eastAsia="el"/>
        </w:rPr>
        <w:t>-</w:t>
      </w:r>
      <w:r>
        <w:rPr>
          <w:b/>
          <w:bCs/>
          <w:lang w:val="en" w:eastAsia="en"/>
        </w:rPr>
        <w:tab/>
      </w:r>
      <w:r>
        <w:rPr>
          <w:b/>
          <w:bCs/>
          <w:lang w:val="el" w:eastAsia="el"/>
        </w:rPr>
        <w:t>Δ/νση ΕΦΚ και ΦΠΑ</w:t>
      </w:r>
    </w:p>
    <w:p>
      <w:pPr>
        <w:pStyle w:val="StructureList1"/>
        <w:spacing w:before="120" w:after="0"/>
        <w:rPr>
          <w:lang w:val="el" w:eastAsia="el"/>
        </w:rPr>
      </w:pPr>
      <w:r>
        <w:rPr>
          <w:b/>
          <w:bCs/>
          <w:lang w:val="el" w:eastAsia="el"/>
        </w:rPr>
        <w:t>-</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w:t>
      </w:r>
      <w:r>
        <w:rPr>
          <w:b/>
          <w:bCs/>
          <w:lang w:val="en" w:eastAsia="en"/>
        </w:rPr>
        <w:tab/>
      </w:r>
      <w:r>
        <w:rPr>
          <w:b/>
          <w:bCs/>
          <w:lang w:val="el" w:eastAsia="el"/>
        </w:rPr>
        <w:t>Δ/νση Δασμολογικών Θεμάτων, Ειδικών Καθεστώτων και Απαλλαγών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Γεν. Δ/νση Φορολογίας</w:t>
      </w:r>
    </w:p>
    <w:p>
      <w:pPr>
        <w:pStyle w:val="StructureList1"/>
        <w:spacing w:before="120" w:after="0"/>
        <w:rPr>
          <w:lang w:val="el" w:eastAsia="el"/>
        </w:rPr>
      </w:pPr>
      <w:r>
        <w:rPr>
          <w:b/>
          <w:bCs/>
          <w:lang w:val="el" w:eastAsia="el"/>
        </w:rPr>
        <w:t>-</w:t>
      </w:r>
      <w:r>
        <w:rPr>
          <w:b/>
          <w:bCs/>
          <w:lang w:val="en" w:eastAsia="en"/>
        </w:rPr>
        <w:tab/>
      </w:r>
      <w:r>
        <w:rPr>
          <w:b/>
          <w:bCs/>
          <w:lang w:val="el" w:eastAsia="el"/>
        </w:rPr>
        <w:t>Δ/νση Εφαρμογής Έμμεσης Φορολογίας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Γεν. Δ/νση Φορολογικών Λειτουργιών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Γεν. Δ/νση Ηλεκτρονικής Διακυβέρνησης :</w:t>
      </w:r>
    </w:p>
    <w:p>
      <w:pPr>
        <w:pStyle w:val="StructureList1"/>
        <w:spacing w:before="120" w:after="0"/>
        <w:rPr>
          <w:lang w:val="el" w:eastAsia="el"/>
        </w:rPr>
      </w:pPr>
      <w:r>
        <w:rPr>
          <w:b/>
          <w:bCs/>
          <w:lang w:val="el" w:eastAsia="el"/>
        </w:rPr>
        <w:t>-</w:t>
      </w:r>
      <w:r>
        <w:rPr>
          <w:b/>
          <w:bCs/>
          <w:lang w:val="en" w:eastAsia="en"/>
        </w:rPr>
        <w:tab/>
      </w:r>
      <w:r>
        <w:rPr>
          <w:b/>
          <w:bCs/>
          <w:lang w:val="el" w:eastAsia="el"/>
        </w:rPr>
        <w:t>Δ/νση Επιχειρησιακών Διαδικασιών (ΔΙ.ΕΠΙ.ΔΙ), Υποδιεύθυνση Β : Απαιτήσεων και Ελέγχου Εφαρμογών Τελωνείων</w:t>
      </w:r>
    </w:p>
    <w:p>
      <w:pPr>
        <w:pStyle w:val="StructureList1"/>
        <w:spacing w:before="120" w:after="0"/>
        <w:rPr>
          <w:lang w:val="el" w:eastAsia="el"/>
        </w:rPr>
      </w:pPr>
      <w:r>
        <w:rPr>
          <w:b/>
          <w:bCs/>
          <w:lang w:val="el" w:eastAsia="el"/>
        </w:rPr>
        <w:t>-</w:t>
      </w:r>
      <w:r>
        <w:rPr>
          <w:b/>
          <w:bCs/>
          <w:lang w:val="en" w:eastAsia="en"/>
        </w:rPr>
        <w:tab/>
      </w:r>
      <w:r>
        <w:rPr>
          <w:b/>
          <w:bCs/>
          <w:lang w:val="el" w:eastAsia="el"/>
        </w:rPr>
        <w:t>Δ/νση Ανάπτυξης Τελωνειακών Εφαρμογών (ΔΑΤΕ)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iteadmin@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