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ΕΒΜΒ46ΜΠ3Ζ-4ΝΜ</w:t>
      </w:r>
    </w:p>
    <w:p>
      <w:pPr>
        <w:pStyle w:val="PreambelText"/>
        <w:spacing w:before="240" w:after="240"/>
        <w:rPr>
          <w:lang w:val="el" w:eastAsia="el"/>
        </w:rPr>
      </w:pPr>
      <w:r>
        <w:rPr>
          <w:b/>
          <w:bCs/>
          <w:lang w:val="el" w:eastAsia="el"/>
        </w:rPr>
        <w:t>Αριθ. ΦΕΚ: Β΄866/26.02.2025</w:t>
      </w:r>
    </w:p>
    <w:p>
      <w:pPr>
        <w:pStyle w:val="PreambelText"/>
        <w:spacing w:before="240" w:after="240"/>
        <w:rPr>
          <w:lang w:val="el" w:eastAsia="el"/>
        </w:rPr>
      </w:pPr>
      <w:r>
        <w:rPr>
          <w:b/>
          <w:bCs/>
          <w:lang w:val="el" w:eastAsia="el"/>
        </w:rPr>
        <w:t>Β΄1633/04.04.2025</w:t>
      </w:r>
    </w:p>
    <w:p>
      <w:pPr>
        <w:pStyle w:val="PreambelText"/>
        <w:spacing w:before="240" w:after="240"/>
        <w:rPr>
          <w:lang w:val="el" w:eastAsia="el"/>
        </w:rPr>
      </w:pPr>
      <w:r>
        <w:rPr>
          <w:b/>
          <w:bCs/>
          <w:lang w:val="el" w:eastAsia="el"/>
        </w:rPr>
        <w:t>Αθήνα, 14 Φεβρουαρίου 2025</w:t>
      </w:r>
    </w:p>
    <w:p>
      <w:pPr>
        <w:pStyle w:val="PreambelText"/>
        <w:spacing w:before="240" w:after="240"/>
        <w:rPr>
          <w:lang w:val="el" w:eastAsia="el"/>
        </w:rPr>
      </w:pPr>
      <w:r>
        <w:rPr>
          <w:b/>
          <w:bCs/>
          <w:lang w:val="el" w:eastAsia="el"/>
        </w:rPr>
        <w:t>Α.1028</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Α.1035/2020 «Υποχρεώσεις Παρόχων Υπηρεσιών Ηλεκτρονικής Έκδοσης Στοιχείων και διαδικασίες ελέγχου παροχής υπηρεσιών ηλεκτρονικής έκδοσης στοιχείων» (Β΄551).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παρ.16 του άρθρου 12 του ν.4308/2014 (Α΄251), β) των άρθρων 8, 12 και 15 του ν. 4308/2014 (Α΄251),</w:t>
      </w:r>
    </w:p>
    <w:p>
      <w:pPr>
        <w:pStyle w:val="StructureList1"/>
        <w:spacing w:before="120" w:after="0"/>
        <w:rPr>
          <w:lang w:val="el" w:eastAsia="el"/>
        </w:rPr>
      </w:pPr>
      <w:r>
        <w:rPr>
          <w:lang w:val="el" w:eastAsia="el"/>
        </w:rPr>
        <w:t>γ)</w:t>
      </w:r>
      <w:r>
        <w:rPr>
          <w:lang w:val="en" w:eastAsia="en"/>
        </w:rPr>
        <w:tab/>
      </w:r>
      <w:r>
        <w:rPr>
          <w:b/>
          <w:bCs/>
          <w:lang w:val="el" w:eastAsia="el"/>
        </w:rPr>
        <w:t>των άρθρων 16 και 17 του ν.5104/2024 (Κ.Φ.Δ.) (Α΄58),</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 xml:space="preserve">2.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5. Το π.δ. 32/2024 «Διορισμός Υπουργών και Υφυπουργών» (Α’91).</w:t>
      </w:r>
    </w:p>
    <w:p>
      <w:pPr>
        <w:spacing w:before="240" w:after="240"/>
        <w:rPr>
          <w:lang w:val="el" w:eastAsia="el"/>
        </w:rPr>
      </w:pPr>
      <w:r>
        <w:rPr>
          <w:lang w:val="el" w:eastAsia="el"/>
        </w:rPr>
        <w:t xml:space="preserve">6.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 xml:space="preserve">7. </w:t>
      </w:r>
      <w:r>
        <w:rPr>
          <w:b/>
          <w:bCs/>
          <w:lang w:val="el" w:eastAsia="el"/>
        </w:rPr>
        <w:t>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lang w:val="el" w:eastAsia="el"/>
        </w:rPr>
        <w:t xml:space="preserve">8. </w:t>
      </w:r>
      <w:r>
        <w:rPr>
          <w:b/>
          <w:bCs/>
          <w:lang w:val="el" w:eastAsia="el"/>
        </w:rPr>
        <w:t>Την υπό στοιχεία Α.1258/2020 απόφαση του Διοικητή της Α.Α.Δ.Ε. «Καθορισμός της διαδικασίας και του τρόπου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άρθρου 71ΣΤ’ του ν.4172/2013, όπως ισχύει» (Β’ 5243).</w:t>
      </w:r>
    </w:p>
    <w:p>
      <w:pPr>
        <w:spacing w:before="240" w:after="240"/>
        <w:rPr>
          <w:lang w:val="el" w:eastAsia="el"/>
        </w:rPr>
      </w:pPr>
      <w:r>
        <w:rPr>
          <w:lang w:val="el" w:eastAsia="el"/>
        </w:rPr>
        <w:t xml:space="preserve">9. </w:t>
      </w:r>
      <w:r>
        <w:rPr>
          <w:b/>
          <w:bCs/>
          <w:lang w:val="el" w:eastAsia="el"/>
        </w:rPr>
        <w:t>Την υπό στοιχεία Α.1155/2023 απόφαση του Διοικητή της ΑΑΔΕ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 Β' 5992 και Β' 6514).</w:t>
      </w:r>
    </w:p>
    <w:p>
      <w:pPr>
        <w:spacing w:before="240" w:after="240"/>
        <w:rPr>
          <w:lang w:val="el" w:eastAsia="el"/>
        </w:rPr>
      </w:pPr>
      <w:r>
        <w:rPr>
          <w:lang w:val="el" w:eastAsia="el"/>
        </w:rPr>
        <w:t xml:space="preserve">10. </w:t>
      </w:r>
      <w:r>
        <w:rPr>
          <w:b/>
          <w:bCs/>
          <w:lang w:val="el" w:eastAsia="el"/>
        </w:rPr>
        <w:t>Την υπό στοιχεία Α.1035/2020 απόφαση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lang w:val="el" w:eastAsia="el"/>
        </w:rPr>
        <w:t xml:space="preserve">11.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12.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w:t>
      </w:r>
    </w:p>
    <w:p>
      <w:pPr>
        <w:spacing w:before="240" w:after="240"/>
        <w:rPr>
          <w:lang w:val="el" w:eastAsia="el"/>
        </w:rPr>
      </w:pPr>
      <w:r>
        <w:rPr>
          <w:b/>
          <w:bCs/>
          <w:lang w:val="el" w:eastAsia="el"/>
        </w:rPr>
        <w:t>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13. </w:t>
      </w:r>
      <w:r>
        <w:rPr>
          <w:b/>
          <w:bCs/>
          <w:lang w:val="el" w:eastAsia="el"/>
        </w:rPr>
        <w:t>Την από 7/2/2025 Πρόταση του Διοικητή της ΑΑΔΕ.</w:t>
      </w:r>
    </w:p>
    <w:p>
      <w:pPr>
        <w:spacing w:before="240" w:after="240"/>
        <w:rPr>
          <w:lang w:val="el" w:eastAsia="el"/>
        </w:rPr>
      </w:pPr>
      <w:r>
        <w:rPr>
          <w:lang w:val="el" w:eastAsia="el"/>
        </w:rPr>
        <w:t xml:space="preserve">14. </w:t>
      </w:r>
      <w:r>
        <w:rPr>
          <w:b/>
          <w:bCs/>
          <w:lang w:val="el" w:eastAsia="el"/>
        </w:rPr>
        <w:t>Την ανάγκη τροποποίησης του χρόνου διάρκειας της Υπογραφής Πληρωμής Ταμειακού Συστήματος ΥΠΑΗΕΣ για σκοπούς είτε αποδοχής είτε απόρριψής της από το Μέσο Πληρωμών (EFT/POS) σύμφωνα με την υπό στοιχεία Α.1155/2023 απόφαση του Διοικητή της ΑΑΔΕ.</w:t>
      </w:r>
    </w:p>
    <w:p>
      <w:pPr>
        <w:spacing w:before="240" w:after="240"/>
        <w:rPr>
          <w:lang w:val="el" w:eastAsia="el"/>
        </w:rPr>
      </w:pPr>
      <w:r>
        <w:rPr>
          <w:lang w:val="el" w:eastAsia="el"/>
        </w:rPr>
        <w:t xml:space="preserve">15.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16. </w:t>
      </w:r>
      <w:r>
        <w:rPr>
          <w:b/>
          <w:bCs/>
          <w:lang w:val="el" w:eastAsia="el"/>
        </w:rPr>
        <w:t>Το γεγονός ότι με τις διατάξεις της παρούσας τροποποιείται η διοικητική διαδικασία με επίσημο τίτλο [«Υποχρεώσεις Παρόχων Υπηρεσιών Ηλεκτρονικής Έκδοσης Στοιχείων και διαδικασίες ελέγχου παροχής υπηρεσιών ηλεκτρονικής έκδοσης στοιχείων» (Β΄551)] και Μοναδικό Αριθμό Καταχώρισης (Μ.Α.Κ) στο ΕΜΔΔ «Μίτος» “446113”.</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Α.1035/2020 «Υποχρεώσεις Παρόχων Υπηρεσιών Ηλεκτρονικής Έκδοσης Στοιχείων και διαδικασίες ελέγχου παροχής υπηρεσιών ηλεκτρονικής έκδοσης στοιχείων» (Β΄551) ως ακολούθως:</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7.6 του άρθρου 7 αντικαθίσταται ως ακολούθως:</w:t>
      </w:r>
    </w:p>
    <w:p>
      <w:pPr>
        <w:spacing w:before="240" w:after="240"/>
        <w:rPr>
          <w:lang w:val="el" w:eastAsia="el"/>
        </w:rPr>
      </w:pPr>
      <w:r>
        <w:rPr>
          <w:b/>
          <w:bCs/>
          <w:lang w:val="el" w:eastAsia="el"/>
        </w:rPr>
        <w:t>«Ο Πάροχος έχει την υποχρέωση να καταγράφει και να τεκμηριώνει τον χρόνο διάρκειας της Υπογραφής Πληρωμής Ταμειακού Συστήματος ΥΠΑΗΕΣ - (Provider's Signature) έως εξήντα (60) ώρες για τα αιτήματα πληρωμής συναλλαγών των Χρηστών υπηρεσιών πληρωμών και έως δύο (2) ώρες για τα αιτήματα πληρωμής συναλλαγών των Χρηστών υπηρεσιών πληρωμών που δραστηριοποιούνται στην εστίαση για σκοπούς είτε αποδοχής είτε απόρριψής της.».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κου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Δ/νση Διαχείρισης Υποδομών - Τμήμα Ε΄</w:t>
      </w:r>
    </w:p>
    <w:p>
      <w:pPr>
        <w:spacing w:before="240" w:after="240"/>
        <w:rPr>
          <w:lang w:val="el" w:eastAsia="el"/>
        </w:rPr>
      </w:pPr>
      <w:r>
        <w:rPr>
          <w:lang w:val="el" w:eastAsia="el"/>
        </w:rPr>
        <w:t xml:space="preserve">9.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