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4000/3/10-ρα’</w:t>
      </w:r>
    </w:p>
    <w:p>
      <w:pPr>
        <w:pStyle w:val="PreambelText"/>
        <w:spacing w:before="240" w:after="240"/>
        <w:rPr>
          <w:lang w:val="el" w:eastAsia="el"/>
        </w:rPr>
      </w:pPr>
      <w:r>
        <w:rPr>
          <w:b/>
          <w:bCs/>
          <w:lang w:val="el" w:eastAsia="el"/>
        </w:rPr>
        <w:t>Τροποποίηση της υπό στοιχεία 4000/3/10_πβ’/ 14.11.2012 κοινής απόφασης των Υπουργών Εξωτερικών, Οικονομικών, Εθνικής Άμυνας, Εσωτερικών, Εργασίας, Κοινωνικής Ασφάλισης και Πρόνοιας και Δημόσιας Τάξης και Προστασίας του Πολίτη «Παραμονή και εργασία ομογενών από Αλβανία» (Β’ 3043)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ΕΞΩΤΕΡΙΚΩΝ - ΕΘΝΙΚΗΣ ΑΜΥΝΑΣ -</w:t>
      </w:r>
    </w:p>
    <w:p>
      <w:pPr>
        <w:pStyle w:val="PreambelText"/>
        <w:spacing w:before="240" w:after="240"/>
        <w:rPr>
          <w:lang w:val="el" w:eastAsia="el"/>
        </w:rPr>
      </w:pPr>
      <w:r>
        <w:rPr>
          <w:b/>
          <w:bCs/>
          <w:lang w:val="el" w:eastAsia="el"/>
        </w:rPr>
        <w:t>ΕΣΩΤΕΡΙΚΩΝ - ΠΡΟΣΤΑΣΙΑΣ ΤΟΥ</w:t>
      </w:r>
    </w:p>
    <w:p>
      <w:pPr>
        <w:pStyle w:val="PreambelText"/>
        <w:spacing w:before="240" w:after="240"/>
        <w:rPr>
          <w:lang w:val="el" w:eastAsia="el"/>
        </w:rPr>
      </w:pPr>
      <w:r>
        <w:rPr>
          <w:b/>
          <w:bCs/>
          <w:lang w:val="el" w:eastAsia="el"/>
        </w:rPr>
        <w:t>ΠΟΛΙΤΗ -ΕΡΓΑΣΙΑΣ ΚΑΙ ΚΟΙΝΩΝΙΚΗΣ</w:t>
      </w:r>
    </w:p>
    <w:p>
      <w:pPr>
        <w:pStyle w:val="PreambelText"/>
        <w:spacing w:before="240" w:after="240"/>
        <w:rPr>
          <w:lang w:val="el" w:eastAsia="el"/>
        </w:rPr>
      </w:pPr>
      <w:r>
        <w:rPr>
          <w:b/>
          <w:bCs/>
          <w:lang w:val="el" w:eastAsia="el"/>
        </w:rPr>
        <w:t>ΑΣΦΑΛΙΣΗΣ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4 του άρθρου 17 του ν. 1975/1991 «Είσοδος - έξοδος, παραμονή, εργασία, απέλαση αλλοδαπών, διαδικασία αναγνώρισης αλλοδαπών προσφύγων και άλλες διατάξεις» (Α’ 184),</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γ. του π.δ. 4/2020 «Σύσταση Υπουργείου Μετανάστευσης και Ασύλου, καθορισμός των αρμοδιοτήτων του και ανακατανομή αρμοδιοτήτων μεταξύ Υπουργείων» (Α’ 4).</w:t>
      </w:r>
    </w:p>
    <w:p>
      <w:pPr>
        <w:pStyle w:val="PreambelText"/>
        <w:spacing w:before="240" w:after="240"/>
        <w:rPr>
          <w:lang w:val="el" w:eastAsia="el"/>
        </w:rPr>
      </w:pPr>
      <w:r>
        <w:rPr>
          <w:lang w:val="el" w:eastAsia="el"/>
        </w:rPr>
        <w:t>δ. του π.δ. 18/2020 «Μετονομασία και σύσταση Γενικών και Ειδικών Γραμματειών στο Υπουργείο Μετανάστευσης και Ασύλου» (Α’ 34).</w:t>
      </w:r>
    </w:p>
    <w:p>
      <w:pPr>
        <w:pStyle w:val="PreambelText"/>
        <w:spacing w:before="240" w:after="240"/>
        <w:rPr>
          <w:lang w:val="el" w:eastAsia="el"/>
        </w:rPr>
      </w:pPr>
      <w:r>
        <w:rPr>
          <w:lang w:val="el" w:eastAsia="el"/>
        </w:rPr>
        <w:t>ε.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στ.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ζ.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η. του π.δ. 2/2024 «Διορισμός Υπουργών και Υφυπουργών» (Α’ 2),</w:t>
      </w:r>
    </w:p>
    <w:p>
      <w:pPr>
        <w:pStyle w:val="PreambelText"/>
        <w:spacing w:before="240" w:after="240"/>
        <w:rPr>
          <w:lang w:val="el" w:eastAsia="el"/>
        </w:rPr>
      </w:pPr>
      <w:r>
        <w:rPr>
          <w:lang w:val="el" w:eastAsia="el"/>
        </w:rPr>
        <w:t>θ. του π.δ. 32/2024 «Διορισμός Υπουργών και Υφυπουργών» (Α’ 91),</w:t>
      </w:r>
    </w:p>
    <w:p>
      <w:pPr>
        <w:pStyle w:val="PreambelText"/>
        <w:spacing w:before="240" w:after="240"/>
        <w:rPr>
          <w:lang w:val="el" w:eastAsia="el"/>
        </w:rPr>
      </w:pPr>
      <w:r>
        <w:rPr>
          <w:lang w:val="el" w:eastAsia="el"/>
        </w:rPr>
        <w:t>ι. 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ια. της υπ’ αρ. 115/12-7-2023 κοινής απόφασης του Πρωθυπουργού και του Υπουργού Εξωτερικών «Ανάθεση αρμοδιοτήτων στην Υφυπουργό Εξωτερικών, Αλεξάνδρα Παπαδοπούλου» (Β’ 4524),</w:t>
      </w:r>
    </w:p>
    <w:p>
      <w:pPr>
        <w:pStyle w:val="PreambelText"/>
        <w:spacing w:before="240" w:after="240"/>
        <w:rPr>
          <w:lang w:val="el" w:eastAsia="el"/>
        </w:rPr>
      </w:pPr>
      <w:r>
        <w:rPr>
          <w:lang w:val="el" w:eastAsia="el"/>
        </w:rPr>
        <w:t>ιβ. 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 και</w:t>
      </w:r>
    </w:p>
    <w:p>
      <w:pPr>
        <w:pStyle w:val="PreambelText"/>
        <w:spacing w:before="240" w:after="240"/>
        <w:rPr>
          <w:lang w:val="el" w:eastAsia="el"/>
        </w:rPr>
      </w:pPr>
      <w:r>
        <w:rPr>
          <w:lang w:val="el" w:eastAsia="el"/>
        </w:rPr>
        <w:t>ιγ.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Την υπό στοιχεία 8000/1/2024/87-α’ από 11.10.2024 εισήγηση του Προϊσταμένου Γενικής Διεύθυνσης Οικονομικών Υπηρεσιών και Επιτελικού Σχεδιασμού του Υπουργείου Προστασίας του Πολίτη (περ. ε’ παρ. 5 του άρθρου 24 του ν. 4270/2014, Α’143, όπως αντικαταστάθηκε με την παρ. 1 του άρθρου 34 του ν. 4484/2017, Α’110), από την οποία προκύπτει ότι δεν προκαλείται οικονομική επιβάρυνση σε βάρος του προϋπολογισμού Εξόδων (Π/Υ) του Υπουργείου Προστασίας του Πολίτη.</w:t>
      </w:r>
    </w:p>
    <w:p>
      <w:pPr>
        <w:pStyle w:val="PreambelText"/>
        <w:spacing w:before="240" w:after="240"/>
        <w:rPr>
          <w:lang w:val="el" w:eastAsia="el"/>
        </w:rPr>
      </w:pPr>
      <w:r>
        <w:rPr>
          <w:lang w:val="el" w:eastAsia="el"/>
        </w:rPr>
        <w:t>3. Το γεγονός ότι με τις διατάξεις της παρούσας τροποποιείται η διοικητική διαδικασία με επίσημο τίτλο: «Ειδικό Δελτίο Ταυτότητας Ομογενούς (ΕΔΤΟ) από Αλβανία» και Μοναδικό Αριθμό Καταχώρισης (Μ.Α.Κ.) στο ΕΜΔΔ-ΜΙΤΟΣ «630009», αποφασίζουμε:</w:t>
      </w:r>
    </w:p>
    <w:p>
      <w:pPr>
        <w:pStyle w:val="PreambelText"/>
        <w:spacing w:before="240" w:after="240"/>
        <w:rPr>
          <w:lang w:val="el" w:eastAsia="el"/>
        </w:rPr>
      </w:pPr>
      <w:r>
        <w:rPr>
          <w:lang w:val="el" w:eastAsia="el"/>
        </w:rPr>
        <w:t>Την αντικατάσταση της παρ. 1 του άρθρου 2 της υπό στοιχεία 4000/3/10-πβ’/14.11.2012 κοινής υπουργικής απόφασης «Παραμονή και εργασία ομογενών από Αλβανία» (Β’ 3043),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 1 του άρθρου 2 της υπό στοιχεία 4000/3/10-πβ’/ 14-11-2012 κοινής υπουργικής απόφασης, αντικαθίσταται ως ακολούθως:</w:t>
      </w:r>
    </w:p>
    <w:p>
      <w:pPr>
        <w:spacing w:before="240" w:after="240"/>
        <w:rPr>
          <w:lang w:val="el" w:eastAsia="el"/>
        </w:rPr>
      </w:pPr>
      <w:r>
        <w:rPr>
          <w:lang w:val="el" w:eastAsia="el"/>
        </w:rPr>
        <w:t xml:space="preserve">«1 . Ο ομογενής ή άλλο δικαιούμενο πρόσωπο του άρθρου 1 </w:t>
      </w:r>
    </w:p>
    <w:p>
      <w:pPr>
        <w:spacing w:before="240" w:after="240"/>
        <w:rPr>
          <w:lang w:val="el" w:eastAsia="el"/>
        </w:rPr>
      </w:pPr>
      <w:r>
        <w:rPr>
          <w:lang w:val="el" w:eastAsia="el"/>
        </w:rPr>
        <w:t>υποβάλλει αυτοπροσώπως στην αρμόδια Ελληνική Προξενική Αρχή της ενεστώσας ή τελευταίας κατοικίας τουστην Αλβανία, αίτηση για έκδοση εθνικής θεώρησης εισόδου. Για τα ανήλικα τέκνα την αίτηση υποβάλλει ο έχων την επιμέλεια. Ο Γενικός Πρόξενος, στην περίπτωση των Γενικών Προξενείων Αργυροκάστρου και Κορυτσάς, ή ο Διευθύνων το Προξενικό Γραφείο, στην περίπτωση της Πρεσβείας Τιράνων, αφού διαπιστώσει μέσω συνέντευξης ότι ο αιτών και οι ανιόντες του είναι Έλληνες το γένος και έχουν ελληνική εθνική συνείδηση ή οικογενειακή σχέση με τον ομογενή, αν πρόκειται για άλλο δικαιούμενο πρόσωπο του άρθρου 1 και εφόσον δεν συντρέχουν στο πρόσωπό του λόγοι εθνικής ασφάλειας, δημόσιας υγείας και δεν είναι καταχωρισμένος ως ανεπιθύμητος στις εθνικές βάσεις δεδομένων, συντάσσει σχετική έκθεση και χορηγεί εθνική θεώρηση εισόδου επί του διαβατηρίου του ή επί άλλου ισοδύναμου ταξιδιωτικού εγγράφου αλλοδαπών Αρχών αναγνωρισμένου από την Ελλάδα. Η τυχόν ύπαρξη λόγων δημόσιας τάξης σε βάρος του αιτούντος καταγράφεται στη συντασσόμενη έκθεση. Κατ’ εξαίρεση, εθνική θεώρηση εισόδου δεν απαιτείται για την αρχική έκδοση Ε.Δ.Τ.Ο. και Α.Δ.Ε.Τ. στις περιπτώσεις ομογενών που έλκουν την καταγωγή τους από περιοχές παραδοσιακής παρουσίας της Ελληνικής Εθνικής Μειονότητας στην Αλβανία, σύμφωνα με τον κατάλογο του άρθρου 15Α. Ομοίως, εθνική θεώρηση εισόδου για την αρχική έκδοση Ε.Δ.Τ.Ο. και Α.Δ.Ε.Τ. δεν απαιτείται για τα ανήλικα τέκνα ομογενών - κατόχων Ε.Δ.Τ.Ο. ή Α.Δ.Ε.Τ., τα οποία γεννήθηκαν και διαμένουν στην Ελλάδα».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Φεβρουαρίου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49"/>
        <w:gridCol w:w="40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ΠΑΠΑΔΟΠΟΥΛΟΥ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και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bl>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ΝΙΚΟΛΑΟΣ ΠΑΝΑΓΙΩΤΟΠΟΥΛΟΣ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