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Γ2γ/3263</w:t>
      </w:r>
    </w:p>
    <w:p>
      <w:pPr>
        <w:spacing w:before="240" w:after="240"/>
        <w:rPr>
          <w:lang w:val="el" w:eastAsia="el"/>
        </w:rPr>
      </w:pPr>
      <w:r>
        <w:rPr>
          <w:b/>
          <w:bCs/>
          <w:lang w:val="el" w:eastAsia="el"/>
        </w:rPr>
        <w:t>Καθορισμός ποσού, τρόπου και χρόνου υπολογισμού και διαδικασίας επιβολής και απόδοσης του ποσού έκπτωσης (rebate) για τα ιατροτεχνολογικά προϊόντα και τα προϊόντα αντιδραστηρίων του άρθρου 72 του ν. 5129/2024 (Α’ 124), καθώς και των σχετικών λεπτομερειών εφαρμογής αυτής.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w:t>
      </w:r>
    </w:p>
    <w:p>
      <w:pPr>
        <w:spacing w:before="240" w:after="240"/>
        <w:rPr>
          <w:lang w:val="el" w:eastAsia="el"/>
        </w:rPr>
      </w:pPr>
      <w:r>
        <w:rPr>
          <w:b/>
          <w:bCs/>
          <w:lang w:val="el" w:eastAsia="el"/>
        </w:rPr>
        <w:t>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ν. 5129/2024 «Ολοκλήρωση της ψυχιατρικής μεταρρύθμισης» (Α’ 124) και ιδίως το άρθρο 72.</w:t>
      </w:r>
    </w:p>
    <w:p>
      <w:pPr>
        <w:spacing w:before="240" w:after="240"/>
        <w:rPr>
          <w:lang w:val="el" w:eastAsia="el"/>
        </w:rPr>
      </w:pPr>
      <w:r>
        <w:rPr>
          <w:lang w:val="el" w:eastAsia="el"/>
        </w:rPr>
        <w:t>2. Τον Κώδικα Είσπραξης Δημοσίων Εσόδων (ν. 4978/ 2022, Α’ 190).</w:t>
      </w:r>
    </w:p>
    <w:p>
      <w:pPr>
        <w:spacing w:before="240" w:after="240"/>
        <w:rPr>
          <w:lang w:val="el" w:eastAsia="el"/>
        </w:rPr>
      </w:pPr>
      <w:r>
        <w:rPr>
          <w:lang w:val="el" w:eastAsia="el"/>
        </w:rPr>
        <w:t>3. Τον ν. 4412/2016 «Δημόσιες Συμβάσεις Έργων, Προμηθειών και Υπηρεσιών (προσαρμογή στις Οδηγίες 2014/24/ΕΕ και 2014/25/ΕΕ)» (Α’ 147).</w:t>
      </w:r>
    </w:p>
    <w:p>
      <w:pPr>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6. Το μέρος Α’ του ν. 4865/2021 «Σύσταση και οργάνωση νομικού προσώπου ιδιωτικού δικαίου με την επωνυμία “Εθνική Κεντρική Αρχή Προμηθειών Υγείας”, στρατηγική κεντρικών προμηθειών προϊόντων και υπηρεσιών υγείας και άλλες επείγουσες διατάξεις για τη δημόσια υγεία και την κοινωνική πρόνοια» (Α’ 238).</w:t>
      </w:r>
    </w:p>
    <w:p>
      <w:pPr>
        <w:spacing w:before="240" w:after="240"/>
        <w:rPr>
          <w:lang w:val="el" w:eastAsia="el"/>
        </w:rPr>
      </w:pPr>
      <w:r>
        <w:rPr>
          <w:lang w:val="el" w:eastAsia="el"/>
        </w:rPr>
        <w:t>7.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8. Το π.δ. 121/2017 «Οργανισμός του Υπουργείου Υγείας» (Α’ 148).</w:t>
      </w:r>
    </w:p>
    <w:p>
      <w:pPr>
        <w:spacing w:before="240" w:after="240"/>
        <w:rPr>
          <w:lang w:val="el" w:eastAsia="el"/>
        </w:rPr>
      </w:pPr>
      <w:r>
        <w:rPr>
          <w:lang w:val="el" w:eastAsia="el"/>
        </w:rPr>
        <w:t>9. Το π.δ. 142/2017 «Οργανισμός Υπουργείου Οικονομικών» (Α’ 181).</w:t>
      </w:r>
    </w:p>
    <w:p>
      <w:pPr>
        <w:spacing w:before="240" w:after="240"/>
        <w:rPr>
          <w:lang w:val="el" w:eastAsia="el"/>
        </w:rPr>
      </w:pPr>
      <w:r>
        <w:rPr>
          <w:lang w:val="el" w:eastAsia="el"/>
        </w:rPr>
        <w:t>10.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11. Το π.δ. 79/2023 «Διορισμός Υπουργών, Αναπληρωτών Υπουργών και Υφυπουργών» (Α’ 131).</w:t>
      </w:r>
    </w:p>
    <w:p>
      <w:pPr>
        <w:spacing w:before="240" w:after="240"/>
        <w:rPr>
          <w:lang w:val="el" w:eastAsia="el"/>
        </w:rPr>
      </w:pPr>
      <w:r>
        <w:rPr>
          <w:lang w:val="el" w:eastAsia="el"/>
        </w:rPr>
        <w:t>12. Το π.δ. 32/2024 «Διορισμός Υπουργών και Υφυπουργών» (Α’ 91).</w:t>
      </w:r>
    </w:p>
    <w:p>
      <w:pPr>
        <w:spacing w:before="240" w:after="240"/>
        <w:rPr>
          <w:lang w:val="el" w:eastAsia="el"/>
        </w:rPr>
      </w:pPr>
      <w:r>
        <w:rPr>
          <w:lang w:val="el" w:eastAsia="el"/>
        </w:rPr>
        <w:t>13.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14. Την υπό στοιχεία 102928 ΕΞ 2023/10.7.2023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15. Την υπ’ αρ. 37310/9.7.2023 κοινή απόφαση του Πρωθυπουργού και του Υπουργού Υγείας «Ανάθεση αρμοδιοτήτων στον Υφυπουργό Υγείας, Μάριο Θεμιστοκλέους» (Β’ 4435).</w:t>
      </w:r>
    </w:p>
    <w:p>
      <w:pPr>
        <w:spacing w:before="240" w:after="240"/>
        <w:rPr>
          <w:lang w:val="el" w:eastAsia="el"/>
        </w:rPr>
      </w:pPr>
      <w:r>
        <w:rPr>
          <w:lang w:val="el" w:eastAsia="el"/>
        </w:rPr>
        <w:t>16. Την υπό στοιχεία 52445 ΕΞ 2023/4.4.2023 κοινή υπουργική απόφαση «Υποχρέωση υποβολής ηλεκτρονικών τιμολογίων από τους οικονομικούς φορείς» (Β’ 2385).</w:t>
      </w:r>
    </w:p>
    <w:p>
      <w:pPr>
        <w:spacing w:before="240" w:after="240"/>
        <w:rPr>
          <w:lang w:val="el" w:eastAsia="el"/>
        </w:rPr>
      </w:pPr>
      <w:r>
        <w:rPr>
          <w:lang w:val="el" w:eastAsia="el"/>
        </w:rPr>
        <w:t>17. Την υπό στοιχεία οικ. 98979 ΕΞ 2021/10.8.2021 κοινή υπουργική απόφαση «Ηλεκτρονική Τιμολόγηση στο πλαίσιο των Δημοσίων Συμβάσεων δυνάμει του ν. 4601/2019 (Α’ 44)» (Β’ 3766).</w:t>
      </w:r>
    </w:p>
    <w:p>
      <w:pPr>
        <w:spacing w:before="240" w:after="240"/>
        <w:rPr>
          <w:lang w:val="el" w:eastAsia="el"/>
        </w:rPr>
      </w:pPr>
      <w:r>
        <w:rPr>
          <w:lang w:val="el" w:eastAsia="el"/>
        </w:rPr>
        <w:t>18. Την υπ’ αρ. 1017/27.1.2020 υπουργική απόφαση «Καθορισμός της μορφής του προτύπου έκδοσης του ηλεκτρονικού τιμολογίου, σύμφωνα με το ευρωπαϊκό πρότυπο έκδοσης ηλεκτρονικών τιμολογίων» (Β’ 457).</w:t>
      </w:r>
    </w:p>
    <w:p>
      <w:pPr>
        <w:spacing w:before="240" w:after="240"/>
        <w:rPr>
          <w:lang w:val="el" w:eastAsia="el"/>
        </w:rPr>
      </w:pPr>
      <w:r>
        <w:rPr>
          <w:lang w:val="el" w:eastAsia="el"/>
        </w:rPr>
        <w:t>19. Την υπό στοιχεία Γ11 ΕΑΔΗΣΥ/2024/27.12.2024 σύμφωνη γνώμη της Ενιαίας Αρχής Δημοσίων Συμβάσεων (Ε.Α.ΔΗ.ΣΥ.) για την έκδοση της παρούσας απόφασης.</w:t>
      </w:r>
    </w:p>
    <w:p>
      <w:pPr>
        <w:spacing w:before="240" w:after="240"/>
        <w:rPr>
          <w:lang w:val="el" w:eastAsia="el"/>
        </w:rPr>
      </w:pPr>
      <w:r>
        <w:rPr>
          <w:lang w:val="el" w:eastAsia="el"/>
        </w:rPr>
        <w:t>20. Το υπ’ αρ. οικ.7923/25-10-2024 έγγραφο του Τμήματος Τεχνικών Προδιαγραφών και Έρευνας Αγοράς της Διεύθυνσης Σχεδιασμού και Εφοδιαστικής Αλυσίδας της Ε.Κ.Α.Π.Υ.</w:t>
      </w:r>
    </w:p>
    <w:p>
      <w:pPr>
        <w:spacing w:before="240" w:after="240"/>
        <w:rPr>
          <w:lang w:val="el" w:eastAsia="el"/>
        </w:rPr>
      </w:pPr>
      <w:r>
        <w:rPr>
          <w:lang w:val="el" w:eastAsia="el"/>
        </w:rPr>
        <w:t>21. Την υπ’ αρ. 376 απόφαση του Διοικητικού Συμβουλίου της 248ης/23-10-2024 Συνεδρίασης της Ε.Κ.Α.Π.Υ. (σε ορθή επανάληψη) με θέμα «Πρόταση για τον καθορισμό ποσού, τρόπου και χρόνου υπολογισμού και διαδικασίας επιβολής και απόδοσης του ποσού έκπτωσης (rebate) του άρθρου 72 του ν. 5129/2024 καθώς και των σχετικών λεπτομερειών εφαρμογής αυτής».</w:t>
      </w:r>
    </w:p>
    <w:p>
      <w:pPr>
        <w:spacing w:before="240" w:after="240"/>
        <w:rPr>
          <w:lang w:val="el" w:eastAsia="el"/>
        </w:rPr>
      </w:pPr>
      <w:r>
        <w:rPr>
          <w:lang w:val="el" w:eastAsia="el"/>
        </w:rPr>
        <w:t>22. 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23. Την υπό στοιχεία Β2α,Β1α/οικ.5225/31.01.2025 εισήγηση του Αναπληρωτή Προϊσταμένου της Γενικής Διεύθυνσης Οικονομικών Υπηρεσιών του Υπουργείου Υγείας, σύμφωνα με την περ. ε της παρ. 5 του άρθρου 24 του ν. 4270/2014.</w:t>
      </w:r>
    </w:p>
    <w:p>
      <w:pPr>
        <w:spacing w:before="240" w:after="240"/>
        <w:rPr>
          <w:lang w:val="el" w:eastAsia="el"/>
        </w:rPr>
      </w:pPr>
      <w:r>
        <w:rPr>
          <w:lang w:val="el" w:eastAsia="el"/>
        </w:rPr>
        <w:t>24. Το γεγονός ότι από το περιεχόμενο της εν θέματι κοινής υπουργικής απόφασης, δεν προκύπτει δαπάνη σε βάρος του προϋπολογισμού των εποπτευόμενων φορέων του Υπουργείου Υγείας (Εθνική Κεντρική Αρχή Προμηθειών Υγείας ή άλλη αρμόδια αναθέτουσα αρχή). Παράλληλα, δεν προκύπτει δαπάνη σε βάρος του τακτικού προϋπολογισμού του Υπουργείου Υγείας, αποφασίζουμε:</w:t>
      </w:r>
    </w:p>
    <w:p>
      <w:pPr>
        <w:spacing w:before="240" w:after="240"/>
        <w:rPr>
          <w:lang w:val="el" w:eastAsia="el"/>
        </w:rPr>
      </w:pPr>
      <w:r>
        <w:rPr>
          <w:lang w:val="el" w:eastAsia="el"/>
        </w:rPr>
        <w:t>1. Για κάθε ιατροτεχνολογικό προϊόν και προϊόν αντιδραστηρίων, πλην των μηχανημάτων που χρησιμοποιούνται για την πρόληψη, διάγνωση ασθενειών ή νοσημάτων ή για την ανίχνευση, μέτρηση της δομής ή λειτουργίας του σώματος για κάποιον ιατρικό σκοπό, που προμηθεύονται με δημόσια σύμβαση, μέσω της Εθνικής Κεντρικής Αρχής Προμηθειών Υγείας ή άλλης αρμόδιας αναθέτουσας αρχής ή απευθείας τα Νοσοκομεία του Εθνικού Συστήματος Υγείας και οι αποκεντρωμένες μονάδες αυτών, το Ωνάσειο Καρδιοχειρουργικό Κέντρο, το Νοσοκομείο Παπαγεωργίου καθώς και όλα τα δημόσια νοσοκομεία, καθιερώνεται κλιμακούμενο ποσοστό έκπτωσης «rebate» ανάλογα με το συνολικό όγκο του τζίρου του κάθε προμηθευτή και ανά νοσοκομείο, του προηγούμενου τριμήνου, όπως ορίζεται στον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1"/>
        <w:gridCol w:w="3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Τριμηνιαίος συνολικός όγκος τζίρου προμηθευτή ανά νοσοκομείο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έκπτωσης (rebate) επί τοις εκατό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 0 έως 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 10.000 έως 30.000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ποσό από 30.000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2. Το ποσό της έκπτωσης υπολογίζεται από τον φορέα που διενεργεί την προμήθεια επί του αθροίσματος της αξίας των τιμολογίων, χωρίς την προσθήκη Φ.Π.Α., που ο κάθε προμηθευτής υποβάλει ανά νοσοκομείο, σε τριμηνιαία βάση.</w:t>
      </w:r>
    </w:p>
    <w:p>
      <w:pPr>
        <w:spacing w:before="240" w:after="240"/>
        <w:rPr>
          <w:lang w:val="el" w:eastAsia="el"/>
        </w:rPr>
      </w:pPr>
      <w:r>
        <w:rPr>
          <w:lang w:val="el" w:eastAsia="el"/>
        </w:rPr>
        <w:t>3. Το ποσό της έκπτωσης αποδίδεται μετά το πέρας εκάστου τριμήνου από τον υπόχρεο προμηθευτή κατόπιν έγγραφης ή ηλεκτρονικής ειδοποίησής του και καταβάλλεται για το πρώτο τρίμηνο μέχρι την 31η Μαΐου, για το δεύτερο τρίμηνο μέχρι την 31η Αυγούστου, για το τρίτο τρίμηνο μέχρι την 30ή Νοεμβρίου και για το τέταρτο τρίμηνο μέχρι την 28η Φεβρουαρίου του επόμενου έτους.</w:t>
      </w:r>
    </w:p>
    <w:p>
      <w:pPr>
        <w:spacing w:before="240" w:after="240"/>
        <w:rPr>
          <w:lang w:val="el" w:eastAsia="el"/>
        </w:rPr>
      </w:pPr>
      <w:r>
        <w:rPr>
          <w:lang w:val="el" w:eastAsia="el"/>
        </w:rPr>
        <w:t>4. Ο φορέας που διενεργεί την προμήθεια δύναται, με απόφαση του αρμόδιου οργάνου του, να συμψηφίζει τα παραπάνω ποσά έκπτωσης με ισόποσες οφειλές του προς τον προμηθευτή ιατροτεχνολογικών προϊόντων ή προϊόντων αντιδραστηρίων, όπως αυτές προκύπτουν από νόμιμα παραστατικά κατά το επόμενο τρίμηνο.</w:t>
      </w:r>
    </w:p>
    <w:p>
      <w:pPr>
        <w:spacing w:before="240" w:after="240"/>
        <w:rPr>
          <w:lang w:val="el" w:eastAsia="el"/>
        </w:rPr>
      </w:pPr>
      <w:r>
        <w:rPr>
          <w:lang w:val="el" w:eastAsia="el"/>
        </w:rPr>
        <w:t>5. H καταβολή μπορεί να γίνει είτε με απευθείας κατάθεση μετρητών στον λογαριασμό του φορέα, είτε μέσω συμψηφισμού του ποσού επιστροφής με αντίστοιχες οφειλές του φορέα προς τον προμηθευτή. Σε κάθε περίπτωση, εκ μέρους του προμηθευτή θα εκδίδεται πιστωτικό τιμολόγιο της παρ. 6 του άρθρου 8 του ν. 4308/2014, ενώ από τον φορέα θα εκδίδεται γραμμάτιο είσπραξης για την επιστροφή των χρημάτων ή τον συμψηφισμό με τις αντίστοιχες οφειλές.</w:t>
      </w:r>
    </w:p>
    <w:p>
      <w:pPr>
        <w:spacing w:before="240" w:after="240"/>
        <w:rPr>
          <w:lang w:val="el" w:eastAsia="el"/>
        </w:rPr>
      </w:pPr>
      <w:r>
        <w:rPr>
          <w:lang w:val="el" w:eastAsia="el"/>
        </w:rPr>
        <w:t>6. Σε περίπτωση μη έγκαιρης απόδοσης του ποσού έκπτωσης της παρ. 1, αυτό εισπράττεται με τη διαδικασία του Κώδικα Εισπράξεως Δημοσίων Εσόδων (Κ.Ε.Δ.Ε.), όπως άλλωστε αυτό ορίζεται και στην παρ. 4 του άρθρου 72 του ν. 5129/2024.</w:t>
      </w:r>
    </w:p>
    <w:p>
      <w:pPr>
        <w:spacing w:before="240" w:after="240"/>
        <w:rPr>
          <w:lang w:val="el" w:eastAsia="el"/>
        </w:rPr>
      </w:pPr>
      <w:r>
        <w:rPr>
          <w:lang w:val="el" w:eastAsia="el"/>
        </w:rPr>
        <w:t>7. Στις δημόσιες συμβάσεις προμηθειών του άρθρου 72 του ν. 5129/2024, εφόσον με το κατακυρωθέν ποσό επιτυγχάνεται ποσοστό εξοικονόμησης από την προϋπολογισθείσα αξία μεγαλύτερο του 5% δεν καταλογίζεται ποσό έκπτωσης.</w:t>
      </w:r>
    </w:p>
    <w:p>
      <w:pPr>
        <w:spacing w:before="240" w:after="240"/>
        <w:rPr>
          <w:lang w:val="el" w:eastAsia="el"/>
        </w:rPr>
      </w:pPr>
      <w:r>
        <w:rPr>
          <w:lang w:val="el" w:eastAsia="el"/>
        </w:rPr>
        <w:t>8. Οι διατάξεις της παρούσας τυγχάνουν εφαρμογής επί όλων των προϊόντων της παρ. 1 και για όλες τις διαδικασίες προμήθειας που εκκινούν, σύμφωνα με τα άρθρα 61 και 120 του ν. 4412/2016,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 Υγείας</w:t>
      </w:r>
    </w:p>
    <w:p>
      <w:pPr>
        <w:spacing w:before="240" w:after="240"/>
        <w:rPr>
          <w:lang w:val="el" w:eastAsia="el"/>
        </w:rPr>
      </w:pPr>
      <w:r>
        <w:rPr>
          <w:b/>
          <w:bCs/>
          <w:lang w:val="el" w:eastAsia="el"/>
        </w:rPr>
        <w:t>ΜΑΡΙΟΣ ΘΕΜΙΣΤΟΚΛΕΟΥΣ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