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w:t>
      </w:r>
    </w:p>
    <w:p>
      <w:pPr>
        <w:pStyle w:val="Title"/>
        <w:spacing w:before="120" w:after="360"/>
        <w:rPr>
          <w:lang w:val="el" w:eastAsia="el"/>
        </w:rPr>
      </w:pPr>
      <w:r>
        <w:rPr>
          <w:b/>
          <w:bCs/>
          <w:lang w:val="el" w:eastAsia="el"/>
        </w:rPr>
        <w:t>ΑΔΑ Ψ1ΛΗ46ΜΠ3Ζ</w:t>
      </w:r>
    </w:p>
    <w:p>
      <w:pPr>
        <w:pStyle w:val="Title"/>
        <w:spacing w:before="120" w:after="360"/>
        <w:rPr>
          <w:lang w:val="el" w:eastAsia="el"/>
        </w:rPr>
      </w:pPr>
      <w:r>
        <w:rPr>
          <w:b/>
          <w:bCs/>
          <w:lang w:val="el" w:eastAsia="el"/>
        </w:rPr>
        <w:t>ΦΕΚ: Β’ 869/26.2</w:t>
      </w:r>
    </w:p>
    <w:p>
      <w:pPr>
        <w:pStyle w:val="PreambelText"/>
        <w:spacing w:before="240" w:after="240"/>
        <w:rPr>
          <w:lang w:val="el" w:eastAsia="el"/>
        </w:rPr>
      </w:pPr>
      <w:r>
        <w:rPr>
          <w:b/>
          <w:bCs/>
          <w:lang w:val="el" w:eastAsia="el"/>
        </w:rPr>
        <w:t>ΙΙ. 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 ΥΠΟΔΙΕΥΘΥΝΣΗ Α΄</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lang w:val="el" w:eastAsia="el"/>
        </w:rPr>
        <w:t xml:space="preserve">2. </w:t>
      </w:r>
      <w:r>
        <w:rPr>
          <w:b/>
          <w:bCs/>
          <w:lang w:val="el" w:eastAsia="el"/>
        </w:rPr>
        <w:t>ΔΙΕΥΘΥΝΣΗ ΥΠΗΡΕΣΙΩΝ ΔΕΔΟΜΕΝΩΝ</w:t>
      </w:r>
    </w:p>
    <w:p>
      <w:pPr>
        <w:spacing w:before="240" w:after="240"/>
        <w:rPr>
          <w:lang w:val="el" w:eastAsia="el"/>
        </w:rPr>
      </w:pPr>
      <w:r>
        <w:rPr>
          <w:b/>
          <w:bCs/>
          <w:lang w:val="el" w:eastAsia="el"/>
        </w:rPr>
        <w:t>Θέμα: «Τροποποίηση της υπό στοιχεία ΠΟΛ. 1033/28.1.2014 απόφασης του</w:t>
      </w:r>
    </w:p>
    <w:p>
      <w:pPr>
        <w:spacing w:before="240" w:after="240"/>
        <w:rPr>
          <w:lang w:val="el" w:eastAsia="el"/>
        </w:rPr>
      </w:pPr>
      <w:r>
        <w:rPr>
          <w:b/>
          <w:bCs/>
          <w:lang w:val="el" w:eastAsia="el"/>
        </w:rPr>
        <w:t>Γενικού Γραμματέα Δημοσίων Εσόδων του Υπουργείου Οικονομικών «Υποχρεώσεις πιστωτικών και χρηματοδοτικών ιδρυμάτων, ιδρυμάτων πληρωμών, Ελληνικών Ταχυδρομείων, Εταιρειών Παροχής Επενδυτικών Υπηρεσιών, επιχειρήσεων ιδιωτικής ασφάλισης, ιδιωτικών θεραπευτηρίων, ιδιωτικών εκπαιδευτηρίων, εταιρειών σταθερής και κινητής τηλεφωνίας, εταιρειών παροχής ηλεκτρικής ενέργειας και ύδρευσης, σύμφωνα με το άρθρο 15 του ν. 4174/2013 (ΦΕΚ 170 Α' /26-07-2013)» (Β’ 276).</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15 και της παρ.12 του άρθρου 83 του ν. 5104/2024 «Κώδικας Φορολογικής Διαδικασίας και άλλες διατάξεις» (Α΄58),</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 και</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με θέμα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υπ΄αρ. 39/3/30-11-2017 (Υ.Ο.Δ.Δ. 689) απόφαση του Συμβουλίου Διοίκησης της ΑΑΔΕ, την υπό στοιχεία 5294 ΕΞ 2020/17-1-2020 (Υ.Ο.Δ.Δ. 27) απόφαση του Υπουργού Οικονομικών καθώς και την υπό στοιχεία 7608 ΕΞ 2025/17.1.2025 (Υ.Ο.Δ.Δ. 11) απόφαση του Υπουργού Εθνικής Οικονομίας και Οικονομικών «Ανανέωση της θητείας του Διοικητή της Ανεξάρτητης Αρχής Δημοσίων Εσόδων (ΑΑΔΕ)».</w:t>
      </w:r>
    </w:p>
    <w:p>
      <w:pPr>
        <w:spacing w:before="240" w:after="240"/>
        <w:rPr>
          <w:lang w:val="el" w:eastAsia="el"/>
        </w:rPr>
      </w:pPr>
      <w:r>
        <w:rPr>
          <w:lang w:val="el" w:eastAsia="el"/>
        </w:rPr>
        <w:t xml:space="preserve">3. </w:t>
      </w:r>
      <w:r>
        <w:rPr>
          <w:b/>
          <w:bCs/>
          <w:lang w:val="el" w:eastAsia="el"/>
        </w:rPr>
        <w:t>Την υπό στοιχεία ΠΟΛ. 1033/28-1-2014 (Β΄276) απόφαση του Γενικού Γραμματέα Δημοσίων Εσόδων του Υπουργείου Οικονομικών, «Υποχρεώσεις πιστωτικών και χρηματοδοτικών ιδρυμάτων, ιδρυμάτων πληρωμών, Ελληνικών Ταχυδρομείων, Εταιριών Παροχής Επενδυτικών Υπηρεσιών, επιχειρήσεων ιδιωτικής ασφάλισης, ιδιωτικών θεραπευτηρίων, ιδιωτικών εκπαιδευτηρίων, εταιριών σταθερής και κινητής τηλεφωνίας, εταιριών παροχής ηλεκτρικής ενέργειας και ύδρευσης, σύμφωνα με το άρθρο 15 του ν. 4174/2013 (ΦΕΚ 170 Α’/26-07-2013)» (Β’ 276).</w:t>
      </w:r>
    </w:p>
    <w:p>
      <w:pPr>
        <w:spacing w:before="240" w:after="240"/>
        <w:rPr>
          <w:lang w:val="el" w:eastAsia="el"/>
        </w:rPr>
      </w:pPr>
      <w:r>
        <w:rPr>
          <w:lang w:val="el" w:eastAsia="el"/>
        </w:rPr>
        <w:t xml:space="preserve">4. </w:t>
      </w:r>
      <w:r>
        <w:rPr>
          <w:b/>
          <w:bCs/>
          <w:lang w:val="el" w:eastAsia="el"/>
        </w:rPr>
        <w:t>Την ανάγκη τροποποίησης των προθεσμιών υποβολής στοιχείων και πληροφοριών βάσει της υπό στοιχεία ΠΟΛ. 1033/28-1-2014 (Β’ 276) απόφασης του Γενικού Γραμματέα Δημοσίων Εσόδων που αφορούν στις παρ. 1.1</w:t>
      </w:r>
      <w:r>
        <w:rPr>
          <w:b/>
          <w:bCs/>
          <w:sz w:val="30"/>
          <w:szCs w:val="30"/>
          <w:vertAlign w:val="superscript"/>
          <w:lang w:val="el" w:eastAsia="el"/>
        </w:rPr>
        <w:t>.</w:t>
      </w:r>
      <w:r>
        <w:rPr>
          <w:b/>
          <w:bCs/>
          <w:lang w:val="el" w:eastAsia="el"/>
        </w:rPr>
        <w:t>α, 1.1.δ και 1.1.ε. της απόφασης αυτής.</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lang w:val="el" w:eastAsia="el"/>
        </w:rPr>
        <w:t xml:space="preserve">6.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ΕΜΔΔ-ΜΙΤΟΣ.</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 παρ.1.3 του άρθρου 1 της υπό στοιχεία ΠΟΛ 1033/28.1.2014 (Β΄276) απόφασης τροποποιείται και αντικαθίσταται ως εξής:</w:t>
      </w:r>
    </w:p>
    <w:p>
      <w:pPr>
        <w:spacing w:before="240" w:after="240"/>
        <w:rPr>
          <w:lang w:val="el" w:eastAsia="el"/>
        </w:rPr>
      </w:pPr>
      <w:r>
        <w:rPr>
          <w:b/>
          <w:bCs/>
          <w:lang w:val="el" w:eastAsia="el"/>
        </w:rPr>
        <w:t>«1.3. Η συχνότητα διαβίβασης των στοιχείων των παραγράφων 1.1 και 1.2 είναι ετήσια και ως καταληκτική ημερομηνία ορίζεται η 28η Φεβρουαρίου του επόμενου έτους του έτους αναφοράς. Οι προδιαγραφές του αρχείου και ο τρόπος διαβίβασής του, θα αναρτηθούν</w:t>
      </w:r>
    </w:p>
    <w:p>
      <w:pPr>
        <w:spacing w:before="240" w:after="240"/>
        <w:rPr>
          <w:lang w:val="el" w:eastAsia="el"/>
        </w:rPr>
      </w:pPr>
      <w:r>
        <w:rPr>
          <w:b/>
          <w:bCs/>
          <w:lang w:val="el" w:eastAsia="el"/>
        </w:rPr>
        <w:t>έγκαιρα στην ιστοσελίδα της Α.Α.Δ.Ε. Για την περίπτωση τροποποιητικής - διορθωτικής υποβολής αρχείου, απαιτείται η αποστολή νέου διορθωμένου αρχείου με το σύνολο των διαθεσίμων στοιχείων, εντός των προβλεπόμενων προθεσμιών.».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Τα οριζόμενα στο άρθρο 1 ισχύουν για τα στοιχεία του φορολογικού έτους 2024 και εφεξής.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lang w:val="el" w:eastAsia="el"/>
        </w:rPr>
        <w:t xml:space="preserve">3. </w:t>
      </w:r>
      <w:r>
        <w:rPr>
          <w:b/>
          <w:bCs/>
          <w:lang w:val="el" w:eastAsia="el"/>
        </w:rPr>
        <w:t>Διεύθυνση Επιχειρησιακών Διαδικασιών</w:t>
      </w:r>
    </w:p>
    <w:p>
      <w:pPr>
        <w:spacing w:before="240" w:after="240"/>
        <w:rPr>
          <w:lang w:val="el" w:eastAsia="el"/>
        </w:rPr>
      </w:pPr>
      <w:r>
        <w:rPr>
          <w:lang w:val="el" w:eastAsia="el"/>
        </w:rPr>
        <w:t xml:space="preserve">4. </w:t>
      </w:r>
      <w:r>
        <w:rPr>
          <w:b/>
          <w:bCs/>
          <w:lang w:val="el" w:eastAsia="el"/>
        </w:rPr>
        <w:t>Διεύθυνση Ανάπτυξης Φορολογικών Εφαρμογών</w:t>
      </w:r>
    </w:p>
    <w:p>
      <w:pPr>
        <w:spacing w:before="240" w:after="240"/>
        <w:rPr>
          <w:lang w:val="el" w:eastAsia="el"/>
        </w:rPr>
      </w:pPr>
      <w:r>
        <w:rPr>
          <w:lang w:val="el" w:eastAsia="el"/>
        </w:rPr>
        <w:t xml:space="preserve">5. </w:t>
      </w:r>
      <w:r>
        <w:rPr>
          <w:b/>
          <w:bCs/>
          <w:lang w:val="el" w:eastAsia="el"/>
        </w:rPr>
        <w:t>Διεύθυνση Υπηρεσιών Δεδομένων</w:t>
      </w:r>
    </w:p>
    <w:p>
      <w:pPr>
        <w:spacing w:before="240" w:after="240"/>
        <w:rPr>
          <w:lang w:val="el" w:eastAsia="el"/>
        </w:rPr>
      </w:pPr>
      <w:r>
        <w:rPr>
          <w:lang w:val="el" w:eastAsia="el"/>
        </w:rPr>
        <w:t xml:space="preserve">6. </w:t>
      </w:r>
      <w:r>
        <w:rPr>
          <w:b/>
          <w:bCs/>
          <w:lang w:val="el" w:eastAsia="el"/>
        </w:rPr>
        <w:t>Ελληνική Ένωση Τραπεζών (</w:t>
      </w:r>
      <w:hyperlink r:id="rId4" w:history="1">
        <w:r>
          <w:rPr>
            <w:rStyle w:val="Hyperlink"/>
            <w:b/>
            <w:bCs/>
            <w:color w:val="0000EE"/>
            <w:u w:color="0000EE"/>
            <w:lang w:val="el" w:eastAsia="el"/>
          </w:rPr>
          <w:t>hba@hba.gr</w:t>
        </w:r>
      </w:hyperlink>
      <w:r>
        <w:rPr>
          <w:b/>
          <w:bCs/>
          <w:lang w:val="el" w:eastAsia="el"/>
        </w:rPr>
        <w:t>)</w:t>
      </w:r>
    </w:p>
    <w:p>
      <w:pPr>
        <w:spacing w:before="240" w:after="240"/>
        <w:rPr>
          <w:lang w:val="el" w:eastAsia="el"/>
        </w:rPr>
      </w:pPr>
      <w:r>
        <w:rPr>
          <w:lang w:val="el" w:eastAsia="el"/>
        </w:rPr>
        <w:t xml:space="preserve">7. </w:t>
      </w:r>
      <w:r>
        <w:rPr>
          <w:b/>
          <w:bCs/>
          <w:lang w:val="el" w:eastAsia="el"/>
        </w:rPr>
        <w:t>Ελληνικό Κεντρικό Αποθετήριο Τίτλων (</w:t>
      </w:r>
      <w:hyperlink r:id="rId5" w:history="1">
        <w:r>
          <w:rPr>
            <w:rStyle w:val="Hyperlink"/>
            <w:b/>
            <w:bCs/>
            <w:color w:val="0000EE"/>
            <w:u w:color="0000EE"/>
            <w:lang w:val="el" w:eastAsia="el"/>
          </w:rPr>
          <w:t>protocol@athexgroup.gr</w:t>
        </w:r>
      </w:hyperlink>
      <w:r>
        <w:rPr>
          <w:b/>
          <w:bCs/>
          <w:lang w:val="el" w:eastAsia="el"/>
        </w:rPr>
        <w:t>)</w:t>
      </w:r>
    </w:p>
    <w:p>
      <w:pPr>
        <w:spacing w:before="240" w:after="240"/>
        <w:rPr>
          <w:lang w:val="el" w:eastAsia="el"/>
        </w:rPr>
      </w:pPr>
      <w:r>
        <w:rPr>
          <w:lang w:val="el" w:eastAsia="el"/>
        </w:rPr>
        <w:t xml:space="preserve">6. </w:t>
      </w:r>
      <w:r>
        <w:rPr>
          <w:b/>
          <w:bCs/>
          <w:lang w:val="el" w:eastAsia="el"/>
        </w:rPr>
        <w:t>Εθνικό Τυπογραφείο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κ.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 Γραμματέως Φορολογικής Πολιτικής</w:t>
      </w:r>
    </w:p>
    <w:p>
      <w:pPr>
        <w:spacing w:before="240" w:after="240"/>
        <w:rPr>
          <w:lang w:val="el" w:eastAsia="el"/>
        </w:rPr>
      </w:pPr>
      <w:r>
        <w:rPr>
          <w:lang w:val="el" w:eastAsia="el"/>
        </w:rPr>
        <w:t xml:space="preserve">4.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5. </w:t>
      </w:r>
      <w:r>
        <w:rPr>
          <w:b/>
          <w:bCs/>
          <w:lang w:val="el" w:eastAsia="el"/>
        </w:rPr>
        <w:t>Αποδέκτες πινάκων Α’, Β’ (εκτός των αριθ.1 και 2 αυτού), Γ΄, Ζ’ (εκτός των αριθ. 2, 5 και 6 αυτού), Η’ (εκτός των αριθ. 4, 10 και 11 αυτού), Θ’, Ι’</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Γενικών Δ/ντών</w:t>
      </w:r>
    </w:p>
    <w:p>
      <w:pPr>
        <w:spacing w:before="240" w:after="240"/>
        <w:rPr>
          <w:lang w:val="el" w:eastAsia="el"/>
        </w:rPr>
      </w:pPr>
      <w:r>
        <w:rPr>
          <w:lang w:val="el" w:eastAsia="el"/>
        </w:rPr>
        <w:t xml:space="preserve">3.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4. </w:t>
      </w:r>
      <w:r>
        <w:rPr>
          <w:b/>
          <w:bCs/>
          <w:lang w:val="el" w:eastAsia="el"/>
        </w:rPr>
        <w:t>Δ/νση Νομικής Υποστήριξης</w:t>
      </w:r>
    </w:p>
    <w:p>
      <w:pPr>
        <w:spacing w:before="240" w:after="240"/>
        <w:rPr>
          <w:lang w:val="el" w:eastAsia="el"/>
        </w:rPr>
      </w:pPr>
      <w:r>
        <w:rPr>
          <w:lang w:val="el" w:eastAsia="el"/>
        </w:rPr>
        <w:t xml:space="preserve">5. </w:t>
      </w:r>
      <w:r>
        <w:rPr>
          <w:b/>
          <w:bCs/>
          <w:lang w:val="el" w:eastAsia="el"/>
        </w:rPr>
        <w:t>Δ/νση Εφαρμογής Άμεσης Φορολογίας - Τμήματα Α΄ -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hba@hba.gr" TargetMode="External" /><Relationship Id="rId5" Type="http://schemas.openxmlformats.org/officeDocument/2006/relationships/hyperlink" Target="mailto:protocol@athexgroup.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