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StructureList1"/>
        <w:spacing w:before="120" w:after="0"/>
        <w:rPr>
          <w:lang w:val="el" w:eastAsia="el"/>
        </w:rPr>
      </w:pPr>
      <w:r>
        <w:rPr>
          <w:lang w:val="el" w:eastAsia="el"/>
        </w:rPr>
        <w:t>α)</w:t>
      </w:r>
      <w:r>
        <w:rPr>
          <w:lang w:val="en" w:eastAsia="en"/>
        </w:rPr>
        <w:tab/>
      </w:r>
      <w:r>
        <w:rPr>
          <w:b/>
          <w:bCs/>
          <w:lang w:val="el" w:eastAsia="el"/>
        </w:rPr>
        <w:t>της παρ. 9 του άρθρου 12 και της παρ. 1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αρθ. 41 αυτού.</w:t>
      </w:r>
    </w:p>
    <w:p>
      <w:pPr>
        <w:pStyle w:val="Title"/>
        <w:spacing w:before="120" w:after="36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β)</w:t>
      </w:r>
      <w:r>
        <w:rPr>
          <w:lang w:val="en" w:eastAsia="en"/>
        </w:rPr>
        <w:tab/>
      </w:r>
      <w:r>
        <w:rPr>
          <w:b/>
          <w:bCs/>
          <w:lang w:val="el" w:eastAsia="el"/>
        </w:rPr>
        <w:t>της Α.Υ.Ο.Ο. ΠΟΛ. 1015/10.1.2012 «Χρονικά όρια δυνατότητας διάθεσης ΦΗΜ και φορολογικών μνημών» (Β΄257),</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Α.Υ.Ο.Ο. ΠΟΛ. 1063/26.3.2008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 δ) της υπό στοιχεία Α.Υ.Ο.Ο. ΠΟΛ. 1234/9.10.2002 «Τεχνικές προδιαγραφές φορολογικών ηλεκτρονικών μηχανισμών και συστημάτων» (Β΄1362),</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Α.1035/18.02.2020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Α.1073/18.5.2023 απόφασης του Διοικητή της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Β'4606),</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Α.1157/12.10.2023 απόφασης του Διοικητή της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Δ.ΟΡΓ.Α 1125859 ΕΞ2020/23.10.2020 απόφασης του Διοικητή της ΑΑΔΕ «Οργανισμός της Ανεξάρτητης Αρχής Δημοσίων Εσόδων (ΑΑΔΕ)» (Β΄4738),</w:t>
      </w:r>
    </w:p>
    <w:p>
      <w:pPr>
        <w:pStyle w:val="StructureList1"/>
        <w:spacing w:before="120" w:after="0"/>
        <w:rPr>
          <w:lang w:val="el" w:eastAsia="el"/>
        </w:rPr>
      </w:pPr>
      <w:r>
        <w:rPr>
          <w:lang w:val="el" w:eastAsia="el"/>
        </w:rPr>
        <w:t>β)</w:t>
      </w:r>
      <w:r>
        <w:rPr>
          <w:lang w:val="en" w:eastAsia="en"/>
        </w:rPr>
        <w:tab/>
      </w:r>
      <w:r>
        <w:rPr>
          <w:b/>
          <w:bCs/>
          <w:lang w:val="el" w:eastAsia="el"/>
        </w:rPr>
        <w:t>της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(Υ.Ο.Δ.Δ. 11) απόφαση του Υπουργού Εθνικής Οικονομίας και Οικονομικών «Ανανέωση της θητείας του Διοικητή της Ανεξάρτητης Αρχής Δημοσίων Εσόδων».</w:t>
      </w:r>
    </w:p>
    <w:p>
      <w:pPr>
        <w:pStyle w:val="Title"/>
        <w:spacing w:before="120" w:after="360"/>
        <w:rPr>
          <w:lang w:val="el" w:eastAsia="el"/>
        </w:rPr>
      </w:pPr>
      <w:r>
        <w:rPr>
          <w:lang w:val="el" w:eastAsia="el"/>
        </w:rPr>
        <w:t xml:space="preserve">4. </w:t>
      </w:r>
      <w:r>
        <w:rPr>
          <w:b/>
          <w:bCs/>
          <w:lang w:val="el" w:eastAsia="el"/>
        </w:rPr>
        <w:t>Την ανάγκη παροχής πρόσθετου χρόνου και την αποφυγή υπέρμετρης επιβάρυνσης των φορολογουμένων αναφορικά με την εκπλήρωση της υποχρέωσης απόσυρσης και οριστικής παύσης χρήσης των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pStyle w:val="Title"/>
        <w:spacing w:before="120" w:after="360"/>
        <w:rPr>
          <w:lang w:val="el" w:eastAsia="el"/>
        </w:rPr>
      </w:pPr>
      <w:r>
        <w:rPr>
          <w:lang w:val="el" w:eastAsia="el"/>
        </w:rPr>
        <w:t xml:space="preserve">5. </w:t>
      </w:r>
      <w:r>
        <w:rPr>
          <w:b/>
          <w:bCs/>
          <w:lang w:val="el" w:eastAsia="el"/>
        </w:rPr>
        <w:t>Το γεγονός ότι η απόφαση αυτή δεν προκαλεί δαπάνη σε βάρος του Προϋπολογισμού της ΑΑΔΕ.</w:t>
      </w:r>
    </w:p>
    <w:p>
      <w:pPr>
        <w:pStyle w:val="Title"/>
        <w:spacing w:before="120" w:after="36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 Διόρθωση Σφάλματος Β΄4606) και Μοναδικό Αριθμό Καταχώρισης (Μ.Α.Κ) στο ΕΜΔΔ «Μίτος» “591137”.</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Α.1073/18.5.2023 απόφαση του Διοικητή της Α.Α.Δ.Ε.</w:t>
      </w:r>
    </w:p>
    <w:p>
      <w:pPr>
        <w:spacing w:before="240" w:after="240"/>
        <w:rPr>
          <w:lang w:val="el" w:eastAsia="el"/>
        </w:rPr>
      </w:pPr>
      <w:r>
        <w:rPr>
          <w:b/>
          <w:bCs/>
          <w:lang w:val="el" w:eastAsia="el"/>
        </w:rPr>
        <w:t>«Απόσυρση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 Διόρθωση Σφάλματος Β΄4606),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2 του άρθρου 1 αντικαθίσταται ως εξής:</w:t>
      </w:r>
    </w:p>
    <w:p>
      <w:pPr>
        <w:spacing w:before="240" w:after="240"/>
        <w:rPr>
          <w:lang w:val="el" w:eastAsia="el"/>
        </w:rPr>
      </w:pPr>
      <w:r>
        <w:rPr>
          <w:b/>
          <w:bCs/>
          <w:lang w:val="el" w:eastAsia="el"/>
        </w:rPr>
        <w:t>«2. Οι προθεσμίες του πρώτου και δεύτερου εδαφίου της παρ. 1 παρατείνονται έως 2.6.2025 και 3.6.2025 αντίστοιχα,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 της παρ. 2.5 του άρθρου 1 της υπό στοιχεία Α.1157/2023 απόφασης Διοικητή της Α.Α.Δ.Ε.</w:t>
      </w:r>
    </w:p>
    <w:p>
      <w:pPr>
        <w:spacing w:before="240" w:after="240"/>
        <w:rPr>
          <w:lang w:val="el" w:eastAsia="el"/>
        </w:rPr>
      </w:pPr>
      <w:r>
        <w:rPr>
          <w:lang w:val="el" w:eastAsia="el"/>
        </w:rPr>
        <w:t xml:space="preserve">2. </w:t>
      </w:r>
      <w:r>
        <w:rPr>
          <w:b/>
          <w:bCs/>
          <w:lang w:val="el" w:eastAsia="el"/>
        </w:rPr>
        <w:t>Η περ. β) της παρ. 1 του άρθρου 3 αντικαθίσταται ως εξής:</w:t>
      </w:r>
    </w:p>
    <w:p>
      <w:pPr>
        <w:spacing w:before="240" w:after="240"/>
        <w:rPr>
          <w:lang w:val="el" w:eastAsia="el"/>
        </w:rPr>
      </w:pPr>
      <w:r>
        <w:rPr>
          <w:b/>
          <w:bCs/>
          <w:lang w:val="el" w:eastAsia="el"/>
        </w:rPr>
        <w:t>«β) Η προθεσμία της περ. α) παρατείνεται έως 3.6.2025,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 της παρ. 2.5 του άρθρου 1 της Α.1157/2023 απόφασης Διοικητή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