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9ΠΣ246ΜΠ3Ζ-6ΧΒ</w:t>
      </w:r>
    </w:p>
    <w:p>
      <w:pPr>
        <w:pStyle w:val="Title"/>
        <w:spacing w:before="120" w:after="360"/>
        <w:rPr>
          <w:lang w:val="el" w:eastAsia="el"/>
        </w:rPr>
      </w:pPr>
      <w:r>
        <w:rPr>
          <w:b/>
          <w:bCs/>
          <w:lang w:val="el" w:eastAsia="el"/>
        </w:rPr>
        <w:t>ΦΕΚ: Β’ 1027/6.3.2025</w:t>
      </w:r>
    </w:p>
    <w:p>
      <w:pPr>
        <w:pStyle w:val="Title"/>
        <w:spacing w:before="120" w:after="360"/>
        <w:rPr>
          <w:lang w:val="el" w:eastAsia="el"/>
        </w:rPr>
      </w:pPr>
      <w:r>
        <w:rPr>
          <w:b/>
          <w:bCs/>
          <w:lang w:val="el" w:eastAsia="el"/>
        </w:rPr>
        <w:t>ΕΛΛΗΝΙΚΗ ΔΗΜΟΚΡ</w:t>
      </w:r>
    </w:p>
    <w:p>
      <w:pPr>
        <w:pStyle w:val="PreambelText"/>
        <w:spacing w:before="240" w:after="240"/>
        <w:rPr>
          <w:lang w:val="el" w:eastAsia="el"/>
        </w:rPr>
      </w:pPr>
      <w:r>
        <w:rPr>
          <w:b/>
          <w:bCs/>
          <w:lang w:val="el" w:eastAsia="el"/>
        </w:rPr>
        <w:t>Αθήνα, 28 Φεβρουαρίου 2025</w:t>
      </w:r>
    </w:p>
    <w:p>
      <w:pPr>
        <w:pStyle w:val="PreambelText"/>
        <w:spacing w:before="240" w:after="240"/>
        <w:rPr>
          <w:lang w:val="el" w:eastAsia="el"/>
        </w:rPr>
      </w:pPr>
      <w:r>
        <w:rPr>
          <w:b/>
          <w:bCs/>
          <w:lang w:val="el" w:eastAsia="el"/>
        </w:rPr>
        <w:t>Αρ. Πρωτ.: Α.1039</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Πειραιώς 180</w:t>
      </w:r>
    </w:p>
    <w:p>
      <w:pPr>
        <w:pStyle w:val="PreambelText"/>
        <w:spacing w:before="240" w:after="240"/>
        <w:rPr>
          <w:lang w:val="el" w:eastAsia="el"/>
        </w:rPr>
      </w:pPr>
      <w:r>
        <w:rPr>
          <w:b/>
          <w:bCs/>
          <w:lang w:val="el" w:eastAsia="el"/>
        </w:rPr>
        <w:t>17778 Ταύρος</w:t>
      </w:r>
    </w:p>
    <w:p>
      <w:pPr>
        <w:pStyle w:val="PreambelText"/>
        <w:spacing w:before="240" w:after="240"/>
        <w:rPr>
          <w:lang w:val="el" w:eastAsia="el"/>
        </w:rPr>
      </w:pPr>
      <w:r>
        <w:rPr>
          <w:b/>
          <w:bCs/>
          <w:lang w:val="el" w:eastAsia="el"/>
        </w:rPr>
        <w:t>2131410225</w:t>
      </w:r>
    </w:p>
    <w:p>
      <w:pPr>
        <w:pStyle w:val="PreambelText"/>
        <w:spacing w:before="240" w:after="240"/>
        <w:rPr>
          <w:lang w:val="el" w:eastAsia="el"/>
        </w:rPr>
      </w:pPr>
      <w:hyperlink r:id="rId4" w:history="1">
        <w:r>
          <w:rPr>
            <w:rStyle w:val="Hyperlink"/>
            <w:b/>
            <w:bCs/>
            <w:color w:val="0000EE"/>
            <w:u w:color="0000EE"/>
            <w:lang w:val="el" w:eastAsia="el"/>
          </w:rPr>
          <w:t>deaf.c@aade.gr</w:t>
        </w:r>
      </w:hyperlink>
    </w:p>
    <w:p>
      <w:pPr>
        <w:pStyle w:val="PreambelText"/>
        <w:spacing w:before="240" w:after="240"/>
        <w:rPr>
          <w:lang w:val="el" w:eastAsia="el"/>
        </w:rPr>
      </w:pP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ΔΙΕΥΘΥNΣH ΑΝΑΠΤΥΞΗΣ ΦΟΡΟΛΟΓΙΚΩΝ ΕΦΑΡΜΟΓΩΝ ΤΜΗΜΑ Α΄</w:t>
      </w:r>
    </w:p>
    <w:p>
      <w:pPr>
        <w:pStyle w:val="PreambelText"/>
        <w:spacing w:before="240" w:after="240"/>
        <w:rPr>
          <w:lang w:val="el" w:eastAsia="el"/>
        </w:rPr>
      </w:pPr>
      <w:r>
        <w:rPr>
          <w:lang w:val="el" w:eastAsia="el"/>
        </w:rPr>
        <w:t xml:space="preserve">2. </w:t>
      </w:r>
      <w:r>
        <w:rPr>
          <w:b/>
          <w:bCs/>
          <w:lang w:val="el" w:eastAsia="el"/>
        </w:rPr>
        <w:t>ΔΙΕΥΘΥΝΣΗ ΕΠΙΧΕΙΡΗΣΙΑΚΩΝ ΔΙΑΔΙΚΑΣΙΩΝ ΥΠΟΔΙΕΥΘΥΝΣΗ Α΄ ΤΜΗΜΑ Α΄</w:t>
      </w:r>
    </w:p>
    <w:p>
      <w:pPr>
        <w:pStyle w:val="PreambelText"/>
        <w:spacing w:before="240" w:after="240"/>
        <w:rPr>
          <w:lang w:val="el" w:eastAsia="el"/>
        </w:rPr>
      </w:pPr>
      <w:r>
        <w:rPr>
          <w:b/>
          <w:bCs/>
          <w:lang w:val="el" w:eastAsia="el"/>
        </w:rPr>
        <w:t>ΘΕΜΑ: Τύπος και περιεχόμενο της δήλωσης τέλους αλιευτικών πλοίων και πλοιαρίων, ρυμουλκών πλοίων και αυτοκινούμενων βυθοκόρων του άρθρου 57 του ν. 4646/2019 (Α΄201) φορολογικού έτους 2024 και επόμενων, καθώς και καθορισμός δικαιολογητικών εγγράφων που συνυποβάλλονται με αυτή.</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57 του ν. 4646/2019 «Φορολογική μεταρρύθμιση με αναπτυξιακή διάσταση για την Ελλάδα του αύριο» (Α’201),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γ)</w:t>
      </w:r>
      <w:r>
        <w:rPr>
          <w:lang w:val="en" w:eastAsia="en"/>
        </w:rPr>
        <w:tab/>
      </w:r>
      <w:r>
        <w:rPr>
          <w:b/>
          <w:bCs/>
          <w:lang w:val="el" w:eastAsia="el"/>
        </w:rPr>
        <w:t>του ν. 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δ)</w:t>
      </w:r>
      <w:r>
        <w:rPr>
          <w:lang w:val="en" w:eastAsia="en"/>
        </w:rPr>
        <w:tab/>
      </w:r>
      <w:r>
        <w:rPr>
          <w:b/>
          <w:bCs/>
          <w:lang w:val="el" w:eastAsia="el"/>
        </w:rPr>
        <w:t>του άρθρου 19 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 77),</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Α. 1008/20.1.2025 κοινή απόφαση των Υπουργών Εθνικής Οικονομίας και Οικονομικών, Αγροτικής Ανάπτυξης και Τροφίμων και Ναυτιλίας και Νησιωτικής Πολιτικής «Καθορισμός των προϋποθέσεων αναγνώρισης της αργίας, των απαιτούμενων δικαιολογητικών και του τρόπου προσδιορισμού του χρόνου δραστηριοποίησης των ρυμουλκών και των αυτοκινούμενων βυθοκόρων στις θαλάσσιες μεταφορές, καθώς και κάθε άλλου σχετικού θέματος για την εφαρμογή των διατάξεων του άρθρου 57 του ν. 4646/2019 (Α’ 201)» (Β’ 578).</w:t>
      </w:r>
    </w:p>
    <w:p>
      <w:pPr>
        <w:pStyle w:val="PreambelText"/>
        <w:spacing w:before="240" w:after="240"/>
        <w:rPr>
          <w:lang w:val="el" w:eastAsia="el"/>
        </w:rPr>
      </w:pPr>
      <w:r>
        <w:rPr>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υπ΄αρ. 39/3/30-11-2017 (Υ.Ο.Δ.Δ. 689) του Συμβουλίου Διοίκησης της ΑΑΔΕ, υπό στοιχεία 5294 ΕΞ 2020/17-01-2020 (Υ.Ο.Δ.Δ. 27) του Υπουργού Οικονομικών και υπό στοιχεία 7608 ΕΞ 2025/17-01-2025 (Υ.Ο.Δ.Δ. 11) του Υπουργού Εθνικής Οικονομίας και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ηλεκτρονικής υποβολής της δήλωσης τέλους αλιευτικών πλοίων, ρυμουλκών πλοίων και αυτοκινούμενων βυθοκόρων με βάση το άρθρο 57 του ν. 4646/2019 (Α’201), και, καθορισμού του τύπου και περιεχομένου της δήλωσης και των δικαιολογητικών που συνυποβάλλονται με αυτή.</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καταχώρησης στο ΕΜΔΔ – ΜΙΤΟΣ.</w:t>
      </w:r>
    </w:p>
    <w:p>
      <w:pPr>
        <w:pStyle w:val="enacting"/>
        <w:spacing w:before="120" w:after="0"/>
        <w:rPr>
          <w:lang w:val="el" w:eastAsia="el"/>
        </w:rPr>
      </w:pPr>
      <w:r>
        <w:rPr>
          <w:b/>
          <w:bCs/>
          <w:lang w:val="el" w:eastAsia="el"/>
        </w:rPr>
        <w:t xml:space="preserve">ΑΠΟΦΑΣΙΖΟΥΜΕΆρθρο </w:t>
      </w:r>
      <w:r>
        <w:rPr>
          <w:lang w:val="el" w:eastAsia="el"/>
        </w:rPr>
        <w:br/>
      </w:r>
      <w:r>
        <w:rPr>
          <w:b/>
          <w:bCs/>
          <w:lang w:val="el" w:eastAsia="el"/>
        </w:rPr>
        <w:t>1Τύπος και περιεχόμενο</w:t>
      </w:r>
    </w:p>
    <w:p>
      <w:pPr>
        <w:pStyle w:val="PreambelText"/>
        <w:spacing w:before="240" w:after="240"/>
        <w:rPr>
          <w:lang w:val="el" w:eastAsia="el"/>
        </w:rPr>
      </w:pPr>
      <w:r>
        <w:rPr>
          <w:lang w:val="el" w:eastAsia="el"/>
        </w:rPr>
        <w:t xml:space="preserve">1. </w:t>
      </w:r>
      <w:r>
        <w:rPr>
          <w:b/>
          <w:bCs/>
          <w:lang w:val="el" w:eastAsia="el"/>
        </w:rPr>
        <w:t>Ο τύπος και το περιεχόμενο της δήλωσης τέλους του άρθρου 57 του ν. 4646/2019 που επιβάλλεται επί του συνόλου των υπό ελληνική σημαία αλιευτικών πλοίων και πλοιαρίων, καθώς και ρυμουλκών πλοίων και αυτοκινούμενων βυθοκόρων των οποίων ο χρόνος δραστηριοποίησης σε υπηρεσίες θαλάσσιων μεταφορών δεν υπερβαίνει το πενήντα τοις εκατό (50%) του συνολικού χρόνου δραστηριοποίησής τους, για το φορολογικό έτος 2024 και επόμενα, έχει όπως τα δύο σχετικά υποδείγματα, τα οποία επισυνάπτονται στην παρούσα (ΕΝΤΥΠΑ 1 και 2, αντίστοιχα) και αποτελούν αναπόσπαστο μέρος αυτής.</w:t>
      </w:r>
    </w:p>
    <w:p>
      <w:pPr>
        <w:pStyle w:val="PreambelText"/>
        <w:spacing w:before="240" w:after="240"/>
        <w:rPr>
          <w:lang w:val="el" w:eastAsia="el"/>
        </w:rPr>
      </w:pPr>
      <w:r>
        <w:rPr>
          <w:lang w:val="el" w:eastAsia="el"/>
        </w:rPr>
        <w:t xml:space="preserve">2. </w:t>
      </w:r>
      <w:r>
        <w:rPr>
          <w:b/>
          <w:bCs/>
          <w:lang w:val="el" w:eastAsia="el"/>
        </w:rPr>
        <w:t>Οι δηλώσεις της παρ. 1 υποβάλλονται στην ψηφιακή πύλη my AADE είτε από τους ίδιους τους υπόχρεους αν πρόκειται για φυσικά πρόσωπα, είτε από τον εξουσιοδοτημένο εκπρόσωπο νομικού προσώπου ή νομικής οντότητας, είτε από εξουσιοδοτημένο φοροτεχνικό – λογιστή με τους προσωπικούς τους κωδικούς πρόσβασης.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2Υπόχρεοι υποβολής δήλωσης</w:t>
      </w:r>
    </w:p>
    <w:p>
      <w:pPr>
        <w:spacing w:before="240" w:after="240"/>
        <w:rPr>
          <w:lang w:val="el" w:eastAsia="el"/>
        </w:rPr>
      </w:pPr>
      <w:r>
        <w:rPr>
          <w:b/>
          <w:bCs/>
          <w:lang w:val="el" w:eastAsia="el"/>
        </w:rPr>
        <w:t>Υπόχρεοι για την υποβολή δήλωσης τέλους του άρθρου 57 του ν. 4646/2019 είναι κατά περίπτωση:</w:t>
      </w:r>
    </w:p>
    <w:p>
      <w:pPr>
        <w:pStyle w:val="StructureList1"/>
        <w:spacing w:before="120" w:after="0"/>
        <w:rPr>
          <w:lang w:val="el" w:eastAsia="el"/>
        </w:rPr>
      </w:pPr>
      <w:r>
        <w:rPr>
          <w:lang w:val="el" w:eastAsia="el"/>
        </w:rPr>
        <w:t>α)</w:t>
      </w:r>
      <w:r>
        <w:rPr>
          <w:lang w:val="en" w:eastAsia="en"/>
        </w:rPr>
        <w:tab/>
      </w:r>
      <w:r>
        <w:rPr>
          <w:b/>
          <w:bCs/>
          <w:lang w:val="el" w:eastAsia="el"/>
        </w:rPr>
        <w:t>ο πλοιοκτήτης (φυσικό ή νομικό πρόσωπο/νομική οντότητα), β) οι πλοιοκτήτες κατά το ποσοστό ιδιοκτησίας του καθενός, στην περίπτωση που το πλοίο ανήκει σε περισσότερους του ενός πλοιοκτήτες και</w:t>
      </w:r>
    </w:p>
    <w:p>
      <w:pPr>
        <w:pStyle w:val="StructureList1"/>
        <w:spacing w:before="120" w:after="0"/>
        <w:rPr>
          <w:lang w:val="el" w:eastAsia="el"/>
        </w:rPr>
      </w:pPr>
      <w:r>
        <w:rPr>
          <w:lang w:val="el" w:eastAsia="el"/>
        </w:rPr>
        <w:t>γ)</w:t>
      </w:r>
      <w:r>
        <w:rPr>
          <w:lang w:val="en" w:eastAsia="en"/>
        </w:rPr>
        <w:tab/>
      </w:r>
      <w:r>
        <w:rPr>
          <w:b/>
          <w:bCs/>
          <w:lang w:val="el" w:eastAsia="el"/>
        </w:rPr>
        <w:t>η συμπλοιοκτησία ή κοινωνία με αλληλέγγυα ευθύνη όλων των συμπλοιοκτητών ή κοινωνών αντίστοιχα.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3Χρόνος υποβολής της δήλωσης και καταβολής του τέλους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πλοιοκτήτες των υπό ελληνική σημαία αλιευτικών, ρυμουλκών και αυτοκινούμενων βυθοκόρων οι οποίοι είναι εγγεγραμμένοι στο νηολόγιο ή λεμβολόγιο ή βιβλίο εγγραφής μικρών σκαφών (ΒΕΜΣ) ή ειδικό δημόσιο βιβλίο μικρών πλοίων (ΕΔΒΜΠ), την 31η Δεκεμβρίου κάθε έτους, για την απόδοση του τέλους για το έτος αυτό υποβάλλουν τη δήλωση του τέλους του άρθρου 57 του ν. 4646/2019 μέχρι την τελευταία εργάσιμη ημέρα του μηνός Μαρτίου του επόμενου έτους.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υποβολή της δήλωσης του τέλους γίνεται άμεσος προσδιορισμός αυτού και η καταβολή του γίνεται σε δύο (2) ισόποσες δόσεις στο έτος υποβολής της δήλωσης και ειδικότερα μέχρι την τελευταία εργάσιμη ημέρα των μηνών Ιουνίου και Οκτωβρίου αντίστοιχα.</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μεταβίβασης της κυριότητας του πλοίου, εφόσον αυτό παραμένει στην ελληνική σημαία, για την υποβολή της δήλωσης του τέλους από τον παλιό και τον νέο πλοιοκτήτη, καθώς και για την καταβολή αυτού, εφαρμόζονται οι διατάξεις του άρθρου 19 του ν. 27/1975. Οι ίδιες διατάξεις εφαρμόζονται και για την υποβολή της δήλωσης και την καταβολή του τέλους σε περίπτωση υποθήκευσης του πλοίου, μεταβίβασης μέρους της κυριότητας του πλοίου, όταν αυτό ανήκει σε περισσότερους του ενός πλοιοκτήτες, εκούσιας διάλυσης του πλοίου, καθώς και για την περίπτωση διαγραφής πλοίου σύμφωνα με την παρ. 3 του άρθρου 18 του ν.δ 187/1973 (Κ.Δ.Ν.Δ).</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πλειστηριασμού του πλοίου, η υποβολή της δήλωσης του τέλους, καθώς και η εφάπαξ καταβολή αυτού γίνονται μέχρι την τελευταία εργάσιμη ημέρα του επόμενου μήνα από εκείνον της έκδοσης της κατακυρωτικής πράξης.</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ολικής καταστροφής ή βύθισης του πλοίου, η υποβολή της δήλωσης του τέλους και η εφάπαξ καταβολή αυτού γίνονται μέχρι την τελευταία εργάσιμη ημέρα του μεθεπόμενου μήνα από εκείνον κατά τον οποίο έλαβε χώρα το γεγονός που επιβάλλει τη διαγραφή του πλοίου από το βιβλίο της λιμενικής αρχής.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Δικαιολογητικά που συνυποβάλλονται με τη δήλωση</w:t>
      </w:r>
    </w:p>
    <w:p>
      <w:pPr>
        <w:spacing w:before="240" w:after="240"/>
        <w:rPr>
          <w:lang w:val="el" w:eastAsia="el"/>
        </w:rPr>
      </w:pPr>
      <w:r>
        <w:rPr>
          <w:b/>
          <w:bCs/>
          <w:lang w:val="el" w:eastAsia="el"/>
        </w:rPr>
        <w:t>Για την πιστοποίηση των στοιχείων των πλοίων συνυποβάλλονται ψηφιακά με τη δήλωση, κατά την πρώτη υποβολή αυτής για κάθε πλοίο και κατά περίπτωση, τα εξής δικαιολογητικά:</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τα ρυμουλκά πλοία και αυτοκινούμενες βυθοκόρους κατά την υποβολή της δήλωσης του τέλους συνυποβάλλονται: α) αντίγραφο του εγγράφου εθνικότητας του πλοίου ή του πιστοποιητικού κυριότητας αυτού από τα οποία προκύπτουν το όνομα, ο λιμένας, ο αριθμός νηολογίου, το ΑΜΥΕΝ, το Δ.Δ.Σ., ο αριθμός ΙΜΟ, οι Κ.Ο.Χ., η συνολική ισχύς σε ίππους (ΒΗΡ), και β) αντίγραφο Πρωτοκόλλου Γενικής Επιθεώρησης (Π.Γ.Ε) ή Άδειας Εκτέλεσης Πλόων (Α.Ε.Π) του πλοίου, ώστε να αποτυπωθεί στη δήλωση του τέλους ρυμουλκών η τελευταία καταμέτρηση της ιπποδύναμής 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τα αλιευτικά πλοία με τη δήλωση απόδοσης του τέλους συνυποβάλλεται αντίγραφο του εγγράφου εθνικότητας του πλοίου ή του πιστοποιητικού κυριότητας αυτού από τα οποία προκύπτουν το όνομα, ο λιμένας, ο αριθμός νηολογίου, το ΑΜΥΕΝ, το Δ.Δ.Σ., ο αριθμός ΙΜΟ και οι Κ.Ο.Χ. εφόσον υπάρχουν, το ολικό μήκος πλοίου σε μέτρα, ενημερωμένο από πιστοποιητικό καταμέτρησης του πλοίου στην περίπτωση που υφίσταται νέα καταμέτρηση του μήκους αυτού και Πρωτόκολλο Γενικής Επιθεώρησης ή Πιστοποιητικό Συμμόρφωσης ή άδεια εκτέλεσης πλόων της αρμόδιας λιμενικής αρχής σε ισχύ.</w:t>
      </w:r>
    </w:p>
    <w:p>
      <w:pPr>
        <w:pStyle w:val="MainText"/>
        <w:spacing w:before="120" w:after="0"/>
        <w:rPr>
          <w:lang w:val="el" w:eastAsia="el"/>
        </w:rPr>
      </w:pPr>
      <w:r>
        <w:rPr>
          <w:b/>
          <w:bCs/>
          <w:lang w:val="el" w:eastAsia="el"/>
        </w:rPr>
        <w:t>3.</w:t>
      </w:r>
      <w:r>
        <w:rPr>
          <w:lang w:val="el" w:eastAsia="el"/>
        </w:rPr>
        <w:t xml:space="preserve"> </w:t>
      </w:r>
      <w:r>
        <w:rPr>
          <w:b/>
          <w:bCs/>
          <w:lang w:val="el" w:eastAsia="el"/>
        </w:rPr>
        <w:t>Επιπλέον, συνυποβάλλονται ψηφιακά κατά περίπτωση με τη δήλωση: α) Βεβαίωση διαγραφής του πλοίου από το νηολόγιο ή λεμβολόγιο ή ΒΕΜΣ ή ΕΔΒΜΠ σε περίπτωση ολικής καταστροφής ή βύθισης του πλοίου.</w:t>
      </w:r>
    </w:p>
    <w:p>
      <w:pPr>
        <w:pStyle w:val="StructureList1"/>
        <w:spacing w:before="120" w:after="0"/>
        <w:rPr>
          <w:lang w:val="el" w:eastAsia="el"/>
        </w:rPr>
      </w:pPr>
      <w:r>
        <w:rPr>
          <w:lang w:val="el" w:eastAsia="el"/>
        </w:rPr>
        <w:t>β)</w:t>
      </w:r>
      <w:r>
        <w:rPr>
          <w:lang w:val="en" w:eastAsia="en"/>
        </w:rPr>
        <w:tab/>
      </w:r>
      <w:r>
        <w:rPr>
          <w:b/>
          <w:bCs/>
          <w:lang w:val="el" w:eastAsia="el"/>
        </w:rPr>
        <w:t>Κατακυρωτική πράξη υπέρ του υπερθεματιστή σε περίπτωση πλειστηριασμού πλοίου.</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αργίας του πλοίου συνυποβάλλεται πιστοποιητικό της αρμόδιας ελληνικής ή προξενικής Αρχής ή σε περίπτωση έλλειψης αυτών, πιστοποιητικό από αλλοδαπή αρμόδια Αρχή (μεταφρασμένο) του τόπου όπου ναυλοχεί το πλοίο, για την αργία αυτού. Σε περίπτωση έλλειψης όλων των παραπάνω Αρχών, αρκεί η προσκόμιση αντιγράφου του ημερολογίου του πλοίου, επικυρωμένου δεόντως.</w:t>
      </w:r>
    </w:p>
    <w:p>
      <w:pPr>
        <w:spacing w:before="240" w:after="240"/>
        <w:rPr>
          <w:lang w:val="el" w:eastAsia="el"/>
        </w:rPr>
      </w:pPr>
      <w:r>
        <w:rPr>
          <w:b/>
          <w:bCs/>
          <w:lang w:val="el" w:eastAsia="el"/>
        </w:rPr>
        <w:t>Ειδικά, για την αναγνώριση της αργίας λόγω έλλειψης εργασιών ή λόγω επισκευών στα υπό ελληνική σημαία αλιευτικά πλοία και πλοιάρια, απαιτείται η κατάθεση στις οικείες Λιμενικές Αρχές πριν την έναρξη της αργίας, του Εγγράφου Εθνικότητας ή της Άδειας Εκτέλεσης Πλόων ή του πιστοποιητικού αξιοπλοΐας αυτών, ήτοι, κατά περίπτωση του πιστοποιητικού Ασφάλειας ή Συμμόρφωσης ή Πρωτόκολλου Γενικής Επιθεώρησης (Π.Γ.Ε.).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5Μεταβατικές διατάξεις – Λοιπά ζητήματα</w:t>
      </w:r>
    </w:p>
    <w:p>
      <w:pPr>
        <w:pStyle w:val="MainText"/>
        <w:spacing w:before="120" w:after="0"/>
        <w:rPr>
          <w:lang w:val="el" w:eastAsia="el"/>
        </w:rPr>
      </w:pPr>
      <w:r>
        <w:rPr>
          <w:b/>
          <w:bCs/>
          <w:lang w:val="el" w:eastAsia="el"/>
        </w:rPr>
        <w:t>1.</w:t>
      </w:r>
      <w:r>
        <w:rPr>
          <w:lang w:val="el" w:eastAsia="el"/>
        </w:rPr>
        <w:t xml:space="preserve"> </w:t>
      </w:r>
      <w:r>
        <w:rPr>
          <w:b/>
          <w:bCs/>
          <w:lang w:val="el" w:eastAsia="el"/>
        </w:rPr>
        <w:t>Οι υπόχρεοι πλοιοκτήτες σε υποβολή αρχικών και τροποποιητικών δηλώσεων τέλους της παρούσας στις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Υποβολής δηλώσεων τέλους των αποβιωσάντων πλοιοκτητών φυσικών προσώπων που αφορούν στην εκμετάλλευση του πλοίου μέχρι την ημερομηνία του θανάτου τους, από τους νόμιμους κληρονόμους τους,</w:t>
      </w:r>
    </w:p>
    <w:p>
      <w:pPr>
        <w:pStyle w:val="StructureList1"/>
        <w:spacing w:before="120" w:after="0"/>
        <w:rPr>
          <w:lang w:val="el" w:eastAsia="el"/>
        </w:rPr>
      </w:pPr>
      <w:r>
        <w:rPr>
          <w:lang w:val="el" w:eastAsia="el"/>
        </w:rPr>
        <w:t>β)</w:t>
      </w:r>
      <w:r>
        <w:rPr>
          <w:lang w:val="en" w:eastAsia="en"/>
        </w:rPr>
        <w:tab/>
      </w:r>
      <w:r>
        <w:rPr>
          <w:b/>
          <w:bCs/>
          <w:lang w:val="el" w:eastAsia="el"/>
        </w:rPr>
        <w:t>αποδεδειγμένης τεχνικής αδυναμίας υποβολής δηλώσεων ηλεκτρονικά στην ψηφιακή πύλη my AADE,</w:t>
      </w:r>
    </w:p>
    <w:p>
      <w:pPr>
        <w:spacing w:before="240" w:after="240"/>
        <w:rPr>
          <w:lang w:val="el" w:eastAsia="el"/>
        </w:rPr>
      </w:pPr>
      <w:r>
        <w:rPr>
          <w:b/>
          <w:bCs/>
          <w:lang w:val="el" w:eastAsia="el"/>
        </w:rPr>
        <w:t>υποβάλλουν αυτές στην αρμόδια για τη φορολογία του πλοίου υπηρεσία σε έντυπη μορφή με αποστολή αιτήματος μέσω της εφαρμογής «Τα αιτήματά μου» στην ψηφιακή πύλη «myAADE» στο οποίο επισυνάπτονται αρχεία σάρωσης (scan) των δηλώσεων και των δικαιολογητικών των άρθρων 1 και 4 της παρούσας αντίστοιχα ή με αποστολή των ανωτέρω με φυσικό φάκελο είτε ταχυδρομικά με συστημένη επιστολή είτε με υπηρεσία ταχυμεταφοράς.</w:t>
      </w:r>
    </w:p>
    <w:p>
      <w:pPr>
        <w:spacing w:before="240" w:after="240"/>
        <w:rPr>
          <w:lang w:val="el" w:eastAsia="el"/>
        </w:rPr>
      </w:pPr>
      <w:r>
        <w:rPr>
          <w:b/>
          <w:bCs/>
          <w:lang w:val="el" w:eastAsia="el"/>
        </w:rPr>
        <w:t>Για την ημερομηνία υποβολής των δηλώσεων ισχύουν τα οριζόμενα στην παρ. 2 του άρθρου 7 του ΚΦΔ.</w:t>
      </w:r>
    </w:p>
    <w:p>
      <w:pPr>
        <w:spacing w:before="240" w:after="240"/>
        <w:rPr>
          <w:lang w:val="el" w:eastAsia="el"/>
        </w:rPr>
      </w:pPr>
      <w:r>
        <w:rPr>
          <w:b/>
          <w:bCs/>
          <w:lang w:val="el" w:eastAsia="el"/>
        </w:rPr>
        <w:t>Με την υποβολή των δηλώσεων γίνεται άμεσος προσδιορισμός του φόρου σύμφωνα με την παρ. 2 του άρθρου 36 του ΚΦΔ και εκδίδεται ταυτότητα οφειλής.</w:t>
      </w:r>
    </w:p>
    <w:p>
      <w:pPr>
        <w:pStyle w:val="MainText"/>
        <w:spacing w:before="120" w:after="0"/>
        <w:rPr>
          <w:lang w:val="el" w:eastAsia="el"/>
        </w:rPr>
      </w:pPr>
      <w:r>
        <w:rPr>
          <w:b/>
          <w:bCs/>
          <w:lang w:val="el" w:eastAsia="el"/>
        </w:rPr>
        <w:t>2.</w:t>
      </w:r>
      <w:r>
        <w:rPr>
          <w:lang w:val="el" w:eastAsia="el"/>
        </w:rPr>
        <w:t xml:space="preserve"> </w:t>
      </w:r>
      <w:r>
        <w:rPr>
          <w:b/>
          <w:bCs/>
          <w:lang w:val="el" w:eastAsia="el"/>
        </w:rPr>
        <w:t>Η καταχώριση του τέλους γίνεται από το υποσύστημα των εσόδων του TAXIS στο είδος φόρου 1279 για το τέλος αλιευτικών πλοίων με αναλυτικό λογαριασμό εσόδου (Α.Λ.Ε.) 1150601001 και στο είδος φόρου 1280 για το τέλος ρυμουλκών πλοίων και αυτοκινούμενων βυθοκόρων, με αναλυτικό λογαριασμό εσόδου (Α.Λ.Ε.) 1150601001.</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εφαρμογή «Τα Μηνύματά μου» που είναι προσβάσιμη από την επιλογή Μητρώο και Επικοινωνία της ψηφιακής πύλης myAADE της ΑΑΔΕ, αντίγραφο της υποβληθείσας δήλωσης αναρτάται στη θυρίδα του φορολογουμένου είτε υπογεγραμμένο ψηφιακά, εφόσον υπάρχει τέτοια δυνατότητα (υποχρεωτικά για τις Δ.Ο.Υ. Α΄ τάξης), είτε με ψηφιακή απεικόνιση (scan). Άρθρο 6</w:t>
      </w:r>
    </w:p>
    <w:p>
      <w:pPr>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για την εκμετάλλευση ρυμουλκών πλοίων, αυτοκινούμενων βυθοκόρων και αλιευτικών πλοίων και πλοιαρίων, από την 1</w:t>
      </w:r>
      <w:r>
        <w:rPr>
          <w:b/>
          <w:bCs/>
          <w:sz w:val="30"/>
          <w:szCs w:val="30"/>
          <w:vertAlign w:val="superscript"/>
          <w:lang w:val="el" w:eastAsia="el"/>
        </w:rPr>
        <w:t>η</w:t>
      </w:r>
      <w:r>
        <w:rPr>
          <w:b/>
          <w:bCs/>
          <w:lang w:val="el" w:eastAsia="el"/>
        </w:rPr>
        <w:t xml:space="preserve"> Ιανουαρίου 2024 και μετά.</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δηλώσεις που υποβλήθηκαν χειρόγραφα μέχρι τη δημοσίευση της παρούσας, σύμφωνα με τα οριζόμενα στην υπό στοιχεία Α. 1201/31.8.2020 (Β’ 3860) κοινή απόφαση των Υπουργών Οικονομικών, Ναυτιλίας και Νησιωτικής Πολιτικής και Αγροτικής Ανάπτυξης και Τροφίμων, και το ποσό του τέλους που βεβαιώθηκε είναι ορθό, δεν απαιτείται η υποβολή νέας δήλωσης με βάση τα οριζόμενα στην παρούσα. Τροποποιητικές δηλώσεις των ως άνω αρχικών δηλώσεων υποβάλλονται ομοίως χειρόγραφα, σύμφωνα με το άρθρο 5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Ειδικά, για την εκμετάλλευση αυτοκινούμενων βυθοκόρων τα έτη 2022 και 2023, για την οποία, με τις διατάξεις του άρθρου 8 του ν. 5000/2022 (Α’ 226), θεσπίστηκε υποχρέωση καταβολής του τέλους από 01.01.2022 και μετά, η υποβολή της δήλωσης και η καταβολή του τέλους που αναλογεί στα έτη αυτά, γίνεται μέχρι το τέλος του επόμενου μήνα από την δημοσίευση της παρούσας χωρίς την επιβολή κυρώσεων με βάση τα οριζόμενα στο άρθρο 5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 xml:space="preserve">Συνημμένα: Τα υποδείγματα (ΕΝΤΥΠΑ 1 και 2) της παρούσας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2)</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Επιχειρησιακή Διεύθυνση ΣΔΟΕ Αττικής - Επιχειρησιακή Διεύθυνση ΣΔΟΕ Μακεδονίας</w:t>
      </w:r>
    </w:p>
    <w:p>
      <w:pPr>
        <w:spacing w:before="240" w:after="240"/>
        <w:rPr>
          <w:lang w:val="el" w:eastAsia="el"/>
        </w:rPr>
      </w:pPr>
      <w:r>
        <w:rPr>
          <w:lang w:val="el" w:eastAsia="el"/>
        </w:rPr>
        <w:t xml:space="preserve">4. </w:t>
      </w:r>
      <w:r>
        <w:rPr>
          <w:b/>
          <w:bCs/>
          <w:lang w:val="el" w:eastAsia="el"/>
        </w:rPr>
        <w:t>Δ/νση Στρατηγικής Τεχνολογιών Πληροφορικής</w:t>
      </w:r>
    </w:p>
    <w:p>
      <w:pPr>
        <w:spacing w:before="240" w:after="240"/>
        <w:rPr>
          <w:lang w:val="el" w:eastAsia="el"/>
        </w:rPr>
      </w:pPr>
      <w:r>
        <w:rPr>
          <w:lang w:val="el" w:eastAsia="el"/>
        </w:rPr>
        <w:t xml:space="preserve">5. </w:t>
      </w:r>
      <w:r>
        <w:rPr>
          <w:b/>
          <w:bCs/>
          <w:lang w:val="el" w:eastAsia="el"/>
        </w:rPr>
        <w:t>Εθνικό Τυπογραφείο</w:t>
      </w:r>
    </w:p>
    <w:p>
      <w:pPr>
        <w:spacing w:before="240" w:after="240"/>
        <w:rPr>
          <w:lang w:val="el" w:eastAsia="el"/>
        </w:rPr>
      </w:pPr>
      <w:r>
        <w:rPr>
          <w:b/>
          <w:bCs/>
          <w:u w:val="single"/>
          <w:lang w:val="el" w:eastAsia="el"/>
        </w:rPr>
        <w:t xml:space="preserve">II.ΑΠΟΔΕΚΤΕΣ </w:t>
      </w:r>
      <w:r>
        <w:rPr>
          <w:b/>
          <w:bCs/>
          <w:u w:val="single"/>
          <w:lang w:val="el" w:eastAsia="el"/>
        </w:rPr>
        <w:t>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 Γραμ. Φορολογικής Πολιτικής</w:t>
      </w:r>
    </w:p>
    <w:p>
      <w:pPr>
        <w:spacing w:before="240" w:after="240"/>
        <w:rPr>
          <w:lang w:val="el" w:eastAsia="el"/>
        </w:rPr>
      </w:pPr>
      <w:r>
        <w:rPr>
          <w:lang w:val="el" w:eastAsia="el"/>
        </w:rPr>
        <w:t xml:space="preserve">4. </w:t>
      </w:r>
      <w:r>
        <w:rPr>
          <w:b/>
          <w:bCs/>
          <w:lang w:val="el" w:eastAsia="el"/>
        </w:rPr>
        <w:t>Αποδέκτες πινάκων Η΄ (πλην 4,10 και 11), ΙΒ΄(5 και 7) και ΚΓ΄</w:t>
      </w:r>
    </w:p>
    <w:p>
      <w:pPr>
        <w:spacing w:before="240" w:after="240"/>
        <w:rPr>
          <w:lang w:val="el" w:eastAsia="el"/>
        </w:rPr>
      </w:pPr>
      <w:r>
        <w:rPr>
          <w:lang w:val="el" w:eastAsia="el"/>
        </w:rPr>
        <w:t xml:space="preserve">5. </w:t>
      </w:r>
      <w:r>
        <w:rPr>
          <w:b/>
          <w:bCs/>
          <w:lang w:val="el" w:eastAsia="el"/>
        </w:rPr>
        <w:t>ΔΤΔ-Εγκεκριμένοι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lang w:val="el" w:eastAsia="el"/>
        </w:rPr>
        <w:t xml:space="preserve">7. </w:t>
      </w:r>
      <w:r>
        <w:rPr>
          <w:b/>
          <w:bCs/>
          <w:lang w:val="el" w:eastAsia="el"/>
        </w:rPr>
        <w:t>Υπουργείο Αγροτικής Ανάπτυξης και Τροφίμων</w:t>
      </w:r>
    </w:p>
    <w:p>
      <w:pPr>
        <w:spacing w:before="240" w:after="240"/>
        <w:rPr>
          <w:lang w:val="el" w:eastAsia="el"/>
        </w:rPr>
      </w:pPr>
      <w:r>
        <w:rPr>
          <w:b/>
          <w:bCs/>
          <w:lang w:val="el" w:eastAsia="el"/>
        </w:rPr>
        <w:t>Αχαρνών 2, 101 76 Αθήνα</w:t>
      </w:r>
    </w:p>
    <w:p>
      <w:pPr>
        <w:spacing w:before="240" w:after="240"/>
        <w:rPr>
          <w:lang w:val="el" w:eastAsia="el"/>
        </w:rPr>
      </w:pPr>
      <w:r>
        <w:rPr>
          <w:lang w:val="el" w:eastAsia="el"/>
        </w:rPr>
        <w:t xml:space="preserve">8. </w:t>
      </w:r>
      <w:r>
        <w:rPr>
          <w:b/>
          <w:bCs/>
          <w:lang w:val="el" w:eastAsia="el"/>
        </w:rPr>
        <w:t>Υπουργείο Αγροτικής Ανάπτυξης και Τροφίμων</w:t>
      </w:r>
    </w:p>
    <w:p>
      <w:pPr>
        <w:spacing w:before="240" w:after="240"/>
        <w:rPr>
          <w:lang w:val="el" w:eastAsia="el"/>
        </w:rPr>
      </w:pPr>
      <w:r>
        <w:rPr>
          <w:b/>
          <w:bCs/>
          <w:lang w:val="el" w:eastAsia="el"/>
        </w:rPr>
        <w:t>Γεν. Διεύθυνση Αλιείας</w:t>
      </w:r>
    </w:p>
    <w:p>
      <w:pPr>
        <w:spacing w:before="240" w:after="240"/>
        <w:rPr>
          <w:lang w:val="el" w:eastAsia="el"/>
        </w:rPr>
      </w:pPr>
      <w:r>
        <w:rPr>
          <w:b/>
          <w:bCs/>
          <w:lang w:val="el" w:eastAsia="el"/>
        </w:rPr>
        <w:t>Λεωφ. Συγγρού 150, Τ.Κ. 17671 Καλλιθέα</w:t>
      </w:r>
    </w:p>
    <w:p>
      <w:pPr>
        <w:spacing w:before="240" w:after="240"/>
        <w:rPr>
          <w:lang w:val="el" w:eastAsia="el"/>
        </w:rPr>
      </w:pPr>
      <w:r>
        <w:rPr>
          <w:lang w:val="el" w:eastAsia="el"/>
        </w:rPr>
        <w:t xml:space="preserve">9.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 xml:space="preserve">10. </w:t>
      </w:r>
      <w:r>
        <w:rPr>
          <w:b/>
          <w:bCs/>
          <w:lang w:val="el" w:eastAsia="el"/>
        </w:rPr>
        <w:t>ΠΕΡΙΟΔΙΚΟ «ΦΟΡΟΛΟΓΙΚΗ ΕΠΙΘΕΩΡΗΣΗ»</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Φορολογίας (Γ.Δ.Φ)</w:t>
      </w:r>
    </w:p>
    <w:p>
      <w:pPr>
        <w:spacing w:before="240" w:after="240"/>
        <w:rPr>
          <w:lang w:val="el" w:eastAsia="el"/>
        </w:rPr>
      </w:pPr>
      <w:r>
        <w:rPr>
          <w:lang w:val="el" w:eastAsia="el"/>
        </w:rPr>
        <w:t xml:space="preserve">3. </w:t>
      </w:r>
      <w:r>
        <w:rPr>
          <w:b/>
          <w:bCs/>
          <w:lang w:val="el" w:eastAsia="el"/>
        </w:rPr>
        <w:t>Γραφεία Γενικών Διευθυντών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Διεύθυνση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