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ΕΙΣΠΡΑΞΕΩΝ</w:t>
      </w:r>
    </w:p>
    <w:p>
      <w:pPr>
        <w:pStyle w:val="PreambelText"/>
        <w:spacing w:before="240" w:after="240"/>
        <w:rPr>
          <w:lang w:val="el" w:eastAsia="el"/>
        </w:rPr>
      </w:pPr>
      <w:r>
        <w:rPr>
          <w:b/>
          <w:bCs/>
          <w:lang w:val="el" w:eastAsia="el"/>
        </w:rPr>
        <w:t>&amp; ΕΠΙΣΤΡΟΦΩΝ (ΔΙ.Δ.ΕΙΣ.ΕΠ.)</w:t>
      </w:r>
    </w:p>
    <w:p>
      <w:pPr>
        <w:pStyle w:val="PreambelText"/>
        <w:spacing w:before="240" w:after="240"/>
        <w:rPr>
          <w:lang w:val="el" w:eastAsia="el"/>
        </w:rPr>
      </w:pPr>
      <w:r>
        <w:rPr>
          <w:b/>
          <w:bCs/>
          <w:lang w:val="el" w:eastAsia="el"/>
        </w:rPr>
        <w:t>ΤΜΗΜΑΤΑ Β΄, Γ΄</w:t>
      </w:r>
    </w:p>
    <w:p>
      <w:pPr>
        <w:pStyle w:val="PreambelText"/>
        <w:spacing w:before="240" w:after="240"/>
        <w:rPr>
          <w:lang w:val="el" w:eastAsia="el"/>
        </w:rPr>
      </w:pPr>
      <w:r>
        <w:rPr>
          <w:b/>
          <w:bCs/>
          <w:lang w:val="el" w:eastAsia="el"/>
        </w:rPr>
        <w:t>Β.ΓΕΝΙΚΗ ΔΙΕΥΘΥΝΣΗ ΤΕΛΩΝΕΙΩΝ ΚΑΙ ΕΙΔΙΚΩΝ ΦΟΡΩΝ ΚΑΤΑΝΑΛΩΣΗΣ (ΓΔΤ&amp;ΕΦΚ)</w:t>
      </w:r>
    </w:p>
    <w:p>
      <w:pPr>
        <w:pStyle w:val="PreambelText"/>
        <w:spacing w:before="240" w:after="240"/>
        <w:rPr>
          <w:lang w:val="el" w:eastAsia="el"/>
        </w:rPr>
      </w:pPr>
      <w:r>
        <w:rPr>
          <w:b/>
          <w:bCs/>
          <w:lang w:val="el" w:eastAsia="el"/>
        </w:rPr>
        <w:t>ΔΙΕΥΘΥΝΣΗ ΤΕΛΩΝΕΙΑΚΩΝ ΔΙΑΔΙΚΑΣΙΩΝ ΤΜΗΜΑ Δ΄</w:t>
      </w:r>
    </w:p>
    <w:p>
      <w:pPr>
        <w:pStyle w:val="PreambelText"/>
        <w:spacing w:before="240" w:after="240"/>
        <w:rPr>
          <w:lang w:val="el" w:eastAsia="el"/>
        </w:rPr>
      </w:pPr>
      <w:r>
        <w:rPr>
          <w:b/>
          <w:bCs/>
          <w:lang w:val="el" w:eastAsia="el"/>
        </w:rPr>
        <w:t>Ταχ. Δ/νση : Πειραιώς 180</w:t>
      </w:r>
    </w:p>
    <w:p>
      <w:pPr>
        <w:pStyle w:val="PreambelText"/>
        <w:spacing w:before="240" w:after="240"/>
        <w:rPr>
          <w:lang w:val="el" w:eastAsia="el"/>
        </w:rPr>
      </w:pPr>
      <w:r>
        <w:rPr>
          <w:b/>
          <w:bCs/>
          <w:lang w:val="el" w:eastAsia="el"/>
        </w:rPr>
        <w:t>Ταχ. Κώδικας : 177 78, Ταύρος</w:t>
      </w:r>
    </w:p>
    <w:p>
      <w:pPr>
        <w:pStyle w:val="PreambelText"/>
        <w:spacing w:before="240" w:after="240"/>
        <w:rPr>
          <w:lang w:val="el" w:eastAsia="el"/>
        </w:rPr>
      </w:pPr>
      <w:r>
        <w:rPr>
          <w:b/>
          <w:bCs/>
          <w:lang w:val="el" w:eastAsia="el"/>
        </w:rPr>
        <w:t>Τηλέφωνο : 2131410203-209</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dideisep@ aade.gr</w:t>
        </w:r>
      </w:hyperlink>
    </w:p>
    <w:p>
      <w:pPr>
        <w:pStyle w:val="PreambelText"/>
        <w:spacing w:before="240" w:after="240"/>
        <w:rPr>
          <w:lang w:val="el" w:eastAsia="el"/>
        </w:rPr>
      </w:pPr>
      <w:hyperlink r:id="rId5" w:history="1">
        <w:r>
          <w:rPr>
            <w:rStyle w:val="Hyperlink"/>
            <w:b/>
            <w:bCs/>
            <w:color w:val="0000EE"/>
            <w:u w:color="0000EE"/>
            <w:lang w:val="el" w:eastAsia="el"/>
          </w:rPr>
          <w:t xml:space="preserve">dtd </w:t>
        </w:r>
        <w:r>
          <w:rPr>
            <w:rStyle w:val="Hyperlink"/>
            <w:b/>
            <w:bCs/>
            <w:color w:val="0000EE"/>
            <w:u w:color="0000EE"/>
            <w:lang w:val="el" w:eastAsia="el"/>
          </w:rPr>
          <w:t xml:space="preserve">@ </w:t>
        </w:r>
        <w:r>
          <w:rPr>
            <w:rStyle w:val="Hyperlink"/>
            <w:b/>
            <w:bCs/>
            <w:color w:val="0000EE"/>
            <w:u w:color="0000EE"/>
            <w:lang w:val="el" w:eastAsia="el"/>
          </w:rPr>
          <w:t>aade.gr</w:t>
        </w:r>
      </w:hyperlink>
    </w:p>
    <w:p>
      <w:pPr>
        <w:pStyle w:val="PreambelText"/>
        <w:spacing w:before="240" w:after="240"/>
        <w:rPr>
          <w:lang w:val="el" w:eastAsia="el"/>
        </w:rPr>
      </w:pPr>
      <w:r>
        <w:rPr>
          <w:b/>
          <w:bCs/>
          <w:lang w:val="el" w:eastAsia="el"/>
        </w:rPr>
        <w:t>Url :</w:t>
      </w:r>
      <w:hyperlink r:id="rId6"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ΘΕΜΑ: Τροποποίηση της υπό στοιχεία Α. 1232/2021 Απόφασης του Διοικητή</w:t>
      </w:r>
    </w:p>
    <w:p>
      <w:pPr>
        <w:pStyle w:val="PreambelText"/>
        <w:spacing w:before="240" w:after="240"/>
        <w:rPr>
          <w:lang w:val="el" w:eastAsia="el"/>
        </w:rPr>
      </w:pPr>
      <w:r>
        <w:rPr>
          <w:b/>
          <w:bCs/>
          <w:lang w:val="el" w:eastAsia="el"/>
        </w:rPr>
        <w:t>ΑΑΔΕ «Διαδικασία διάκρισης ληξιπροθέσμων οφειλών προς το Δημόσιο σε εισπράξιμες και ανεπίδεκτες είσπραξης – Μεταβίβαση αρμοδιοτήτων του Διοικητή της Ανεξάρτητης Αρχής Δημοσίων Εσόδων» (Β΄4942)</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Κώδικα Είσπραξης Δημοσίων Εσόδων (ν. 4978/2022, Α΄190) και ιδίως το άρθρο 73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του ν. 4820/2021 «Οργανικός νόμος του Ελεγκτικού Συνεδρίου και άλλες ρυθμίσεις» (Α΄130) και ιδίως του άρθρου 132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ιδίως της παρ. 6 του άρθρου 14 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του Κώδικα Φορολογικής Διαδικασίας (ν. 5104/2024, Α΄ 58),</w:t>
      </w:r>
    </w:p>
    <w:p>
      <w:pPr>
        <w:pStyle w:val="StructureList1"/>
        <w:spacing w:before="120" w:after="0"/>
        <w:rPr>
          <w:lang w:val="el" w:eastAsia="el"/>
        </w:rPr>
      </w:pPr>
      <w:r>
        <w:rPr>
          <w:b/>
          <w:bCs/>
          <w:lang w:val="el" w:eastAsia="el"/>
        </w:rPr>
        <w:t>ε)</w:t>
      </w:r>
      <w:r>
        <w:rPr>
          <w:b/>
          <w:bCs/>
          <w:lang w:val="en" w:eastAsia="en"/>
        </w:rPr>
        <w:tab/>
      </w:r>
      <w:r>
        <w:rPr>
          <w:b/>
          <w:bCs/>
          <w:lang w:val="el" w:eastAsia="el"/>
        </w:rPr>
        <w:t>του ν. 4270/2014 «Αρχές Δημοσιονομικής διαχείρισης και εποπτείας (ενσωμάτωση της Οδηγίας 2011/85/ΕΕ) – δημόσιο λογιστικό και άλλες διατάξεις» (A’ 143),</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w:t>
      </w:r>
    </w:p>
    <w:p>
      <w:pPr>
        <w:pStyle w:val="StructureList1"/>
        <w:spacing w:before="120" w:after="0"/>
        <w:rPr>
          <w:lang w:val="el" w:eastAsia="el"/>
        </w:rPr>
      </w:pPr>
      <w:r>
        <w:rPr>
          <w:b/>
          <w:bCs/>
          <w:lang w:val="el" w:eastAsia="el"/>
        </w:rPr>
        <w:t>ζ)</w:t>
      </w:r>
      <w:r>
        <w:rPr>
          <w:b/>
          <w:bCs/>
          <w:lang w:val="en" w:eastAsia="en"/>
        </w:rPr>
        <w:tab/>
      </w:r>
      <w:r>
        <w:rPr>
          <w:b/>
          <w:bCs/>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b/>
          <w:bCs/>
          <w:lang w:val="el" w:eastAsia="el"/>
        </w:rPr>
        <w:t>η)</w:t>
      </w:r>
      <w:r>
        <w:rPr>
          <w:b/>
          <w:bCs/>
          <w:lang w:val="en" w:eastAsia="en"/>
        </w:rPr>
        <w:tab/>
      </w:r>
      <w:r>
        <w:rPr>
          <w:b/>
          <w:bCs/>
          <w:lang w:val="el" w:eastAsia="el"/>
        </w:rPr>
        <w:t>του π.δ. 16/1989 «Κανονισμός λειτουργίας Δημοσίων Οικονομικών Υπηρεσιών (Δ.Ο.Υ.) και των Τοπικών Γραφείων και καθήκοντα υπαλλήλων αυτών» (Α΄ 6),</w:t>
      </w:r>
    </w:p>
    <w:p>
      <w:pPr>
        <w:pStyle w:val="StructureList1"/>
        <w:spacing w:before="120" w:after="0"/>
        <w:rPr>
          <w:lang w:val="el" w:eastAsia="el"/>
        </w:rPr>
      </w:pPr>
      <w:r>
        <w:rPr>
          <w:b/>
          <w:bCs/>
          <w:lang w:val="el" w:eastAsia="el"/>
        </w:rPr>
        <w:t>θ)</w:t>
      </w:r>
      <w:r>
        <w:rPr>
          <w:b/>
          <w:bCs/>
          <w:lang w:val="en" w:eastAsia="en"/>
        </w:rPr>
        <w:tab/>
      </w:r>
      <w:r>
        <w:rPr>
          <w:b/>
          <w:bCs/>
          <w:lang w:val="el" w:eastAsia="el"/>
        </w:rPr>
        <w:t xml:space="preserve">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w:t>
      </w:r>
      <w:r>
        <w:rPr>
          <w:b/>
          <w:bCs/>
          <w:lang w:val="el" w:eastAsia="el"/>
        </w:rPr>
        <w:t>́</w:t>
      </w:r>
      <w:r>
        <w:rPr>
          <w:b/>
          <w:bCs/>
          <w:lang w:val="el" w:eastAsia="el"/>
        </w:rPr>
        <w:t>4738).</w:t>
      </w:r>
    </w:p>
    <w:p>
      <w:pPr>
        <w:pStyle w:val="PreambelText"/>
        <w:spacing w:before="240" w:after="240"/>
        <w:rPr>
          <w:lang w:val="el" w:eastAsia="el"/>
        </w:rPr>
      </w:pPr>
      <w:r>
        <w:rPr>
          <w:b/>
          <w:bCs/>
          <w:lang w:val="el" w:eastAsia="el"/>
        </w:rPr>
        <w:t xml:space="preserve">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την υπό στοιχεία 5294 ΕΞ 2020/17.1.2020 απόφαση του Υπουργού Οικονομικών «Ανανέωση της θητείας του Διοικητή της Ανεξάρτητης Αρχής Δημοσίων Εσόδων» (Υ.Ο.Δ.Δ. 27), καθώς και την υπό στοιχεία 7608 ΕΞ 2025/17.01.2025 απόφαση του Υπουργού Εθνικής Οικονομίας και Οικονομικών «Ανανέωση της θητείας του Διοικητή της Ανεξάρτητης Αρχής Δημοσίων Εσόδων (Α.Α.Δ.Ε.)» (Υ.Ο.Δ.Δ. 11).</w:t>
      </w:r>
    </w:p>
    <w:p>
      <w:pPr>
        <w:pStyle w:val="PreambelText"/>
        <w:spacing w:before="240" w:after="240"/>
        <w:rPr>
          <w:lang w:val="el" w:eastAsia="el"/>
        </w:rPr>
      </w:pPr>
      <w:r>
        <w:rPr>
          <w:b/>
          <w:bCs/>
          <w:lang w:val="el" w:eastAsia="el"/>
        </w:rPr>
        <w:t>3.Την υπό στοιχεία Α.1232/2021 απόφαση του Διοικητή ΑΑΔΕ «Διαδικασία διάκρισης ληξιπροθέσμων οφειλών προς το Δημόσιο σε εισπράξιμες και ανεπίδεκτες είσπραξης– Μεταβίβαση αρμοδιοτήτων του Διοικητή της Ανεξάρτητης Αρχής Δημοσίων Εσόδων» (Β΄4942), όπως έχει τροποποιηθεί με την υπό στοιχεία Α.1088/2024 όμοια απόφαση «Μεταβολή των κριτηρίων και των προϋποθέσεων καταχώρισης οφειλών στα βιβλία ανεπίδεκτων είσπραξης και ρύθμιση των χρονικών ορίων ισχύος των συνεπειών της καταχώρισης - Τροποποίηση της υπό στοιχεία Α. 1232/2021 (Β’ 4942) απόφασης του Διοικητή της ΑΑΔΕ.» (Β' 3199).</w:t>
      </w:r>
    </w:p>
    <w:p>
      <w:pPr>
        <w:pStyle w:val="PreambelText"/>
        <w:spacing w:before="240" w:after="240"/>
        <w:rPr>
          <w:lang w:val="el" w:eastAsia="el"/>
        </w:rPr>
      </w:pPr>
      <w:r>
        <w:rPr>
          <w:b/>
          <w:bCs/>
          <w:lang w:val="el" w:eastAsia="el"/>
        </w:rPr>
        <w:t xml:space="preserve">5. </w:t>
      </w:r>
      <w:r>
        <w:rPr>
          <w:b/>
          <w:bCs/>
          <w:lang w:val="el" w:eastAsia="el"/>
        </w:rPr>
        <w:t>Την ανάγκη τροποποίησης της παρ. 1 του άρθρου 8 της υπό στοιχεία Α. 1232/2021 απόφασης του Διοικητή ΑΑΔΕ με τον ανακαθορισμό των χρηματικών ορίων των αρμοδιοτήτων για τον χαρακτηρισμό οφειλής ως ανεπίδεκτης είσπραξης με σκοπό τη διασφάλιση της εύρυθμης και αποτελεσματικής λειτουργίας των Υπηρεσιών της ΑΑΔΕ που είναι αρμόδιες για τον χαρακτηρισμό των οφειλών ως ανεπίδεκτων είσπραξης.</w:t>
      </w:r>
    </w:p>
    <w:p>
      <w:pPr>
        <w:pStyle w:val="PreambelText"/>
        <w:spacing w:before="240" w:after="240"/>
        <w:rPr>
          <w:lang w:val="el" w:eastAsia="el"/>
        </w:rPr>
      </w:pPr>
      <w:r>
        <w:rPr>
          <w:b/>
          <w:bCs/>
          <w:lang w:val="el" w:eastAsia="el"/>
        </w:rPr>
        <w:t xml:space="preserve">6.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pStyle w:val="PreambelText"/>
        <w:spacing w:before="240" w:after="240"/>
        <w:rPr>
          <w:lang w:val="el" w:eastAsia="el"/>
        </w:rPr>
      </w:pPr>
      <w:r>
        <w:rPr>
          <w:b/>
          <w:bCs/>
          <w:lang w:val="el" w:eastAsia="el"/>
        </w:rPr>
        <w:t xml:space="preserve">7. </w:t>
      </w:r>
      <w:r>
        <w:rPr>
          <w:b/>
          <w:bCs/>
          <w:lang w:val="el" w:eastAsia="el"/>
        </w:rPr>
        <w:t>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Στην παρ. 1 του άρθρου 8 της υπό στοιχεία Α. 1232/2021 απόφασης του Διοικητή ΑΑΔΕ επέρχονται οι κάτωθι τροποποιήσεις: α) στην περ. β οι λέξεις «φορολογικής ή τελωνειακής υπηρεσίας» αντικαθίστανται από τις λέξεις «ΚΕ.Β.ΕΙΣ./Δ.Ο.Υ./ΚΕ.ΜΕ.Φ./Ζ΄Τμήματος ΚΕ.ΦΟ.Δ.Ε. Αττικής ή τελωνειακής υπηρεσίας» και οι λέξεις «έως ενάμισυ εκατομμύριο (1.500.000) ευρώ» αντικαθίστανται από τις λέξεις «έως τρία εκατομμύρια (3.000.000) ευρώ», β) στην περ. γ, αντικαθίστανται οι λέξεις «από ενάμισυ εκατομμύριο (1.500.000) ευρώ» από τις λέξεις «από τρία εκατομμύρια (3.000.000) ευρώ» και η παρ. 1 διαμορφώνεται ως εξής:</w:t>
      </w:r>
    </w:p>
    <w:p>
      <w:pPr>
        <w:spacing w:before="240" w:after="240"/>
        <w:rPr>
          <w:lang w:val="el" w:eastAsia="el"/>
        </w:rPr>
      </w:pPr>
      <w:r>
        <w:rPr>
          <w:b/>
          <w:bCs/>
          <w:lang w:val="el" w:eastAsia="el"/>
        </w:rPr>
        <w:t>«1. Ο χαρακτηρισμός οφειλής ως ανεπίδεκτης είσπραξης και η καταχώρισή της στα ειδικά βιβλία του άρθρου 4 γίνεται:</w:t>
      </w:r>
    </w:p>
    <w:p>
      <w:pPr>
        <w:spacing w:before="240" w:after="240"/>
        <w:rPr>
          <w:lang w:val="el" w:eastAsia="el"/>
        </w:rPr>
      </w:pPr>
      <w:r>
        <w:rPr>
          <w:b/>
          <w:bCs/>
          <w:lang w:val="el" w:eastAsia="el"/>
        </w:rPr>
        <w:t>α) με απόφαση του αρμόδιου για την επιδίωξη της είσπραξης της οφειλής Προϊσταμένου φορολογικής ή τελωνειακής υπηρεσίας, κατόπιν εισήγησης του Προϊσταμένου του Τμήματος που έχει την αρμοδιότητα του Δικαστικού, εφόσον πρόκειται για συνολική βασική βεβαιωμένη ληξιπρόθεσμη οφειλή μικρότερη των τριακοσίων χιλιάδων (300.000) ευρώ,</w:t>
      </w:r>
    </w:p>
    <w:p>
      <w:pPr>
        <w:spacing w:before="240" w:after="240"/>
        <w:rPr>
          <w:lang w:val="el" w:eastAsia="el"/>
        </w:rPr>
      </w:pPr>
      <w:r>
        <w:rPr>
          <w:b/>
          <w:bCs/>
          <w:lang w:val="el" w:eastAsia="el"/>
        </w:rPr>
        <w:t>β) με απόφαση του Διοικητή της Ανεξάρτητης Αρχής Δημοσίων Εσόδων, κατόπιν εισήγησης του αρμόδιου για την επιδίωξη της είσπραξης της οφειλής Προϊσταμένου ΚΕ.Β.ΕΙΣ./Δ.Ο.Υ./ΚΕ.ΜΕ.Φ./Ζ΄Τμήματος ΚΕ.ΦΟ.Δ.Ε. Αττικής ή τελωνειακής υπηρεσίας, εφόσον πρόκειται για συνολική βασική βεβαιωμένη ληξιπρόθεσμη οφειλή από τριακόσιες χιλιάδες (300.000) ευρώ και έως τρία εκατομμύρια (3.000.000) ευρώ και</w:t>
      </w:r>
    </w:p>
    <w:p>
      <w:pPr>
        <w:spacing w:before="240" w:after="240"/>
        <w:rPr>
          <w:lang w:val="el" w:eastAsia="el"/>
        </w:rPr>
      </w:pPr>
      <w:r>
        <w:rPr>
          <w:b/>
          <w:bCs/>
          <w:lang w:val="el" w:eastAsia="el"/>
        </w:rPr>
        <w:t>γ) με απόφαση του Διοικητή της Ανεξάρτητης Αρχής Δημοσίων Εσόδων, κατόπιν εισήγησης του Προϊσταμένου της Επιχειρησιακής Μονάδας Είσπραξης, εφόσον πρόκειται για συνολική βασική βεβαιωμένη ληξιπρόθεσμη οφειλή μεγαλύτερη από τρία εκατομμύρια (3.000.000) ευρώ.».</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έναρξη ισχύος της παρούσας ορίζεται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b/>
          <w:bCs/>
          <w:lang w:val="el" w:eastAsia="el"/>
        </w:rPr>
        <w:t xml:space="preserve">1. </w:t>
      </w:r>
      <w:r>
        <w:rPr>
          <w:b/>
          <w:bCs/>
          <w:lang w:val="el" w:eastAsia="el"/>
        </w:rPr>
        <w:t>Αποδέκτες Πινάκων Γ΄και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Δ/νση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b/>
          <w:bCs/>
          <w:lang w:val="el" w:eastAsia="el"/>
        </w:rPr>
        <w:t xml:space="preserve">2. </w:t>
      </w:r>
      <w:r>
        <w:rPr>
          <w:b/>
          <w:bCs/>
          <w:lang w:val="el" w:eastAsia="el"/>
        </w:rPr>
        <w:t>Ελεγκτικό Συνέδριο</w:t>
      </w:r>
    </w:p>
    <w:p>
      <w:pPr>
        <w:spacing w:before="240" w:after="240"/>
        <w:rPr>
          <w:lang w:val="el" w:eastAsia="el"/>
        </w:rPr>
      </w:pPr>
      <w:r>
        <w:rPr>
          <w:b/>
          <w:bCs/>
          <w:lang w:val="el" w:eastAsia="el"/>
        </w:rPr>
        <w:t xml:space="preserve">3. </w:t>
      </w:r>
      <w:r>
        <w:rPr>
          <w:b/>
          <w:bCs/>
          <w:lang w:val="el" w:eastAsia="el"/>
        </w:rPr>
        <w:t>Κεντρική Υπηρεσία του Νομικού Συμβουλίου του Κράτους</w:t>
      </w:r>
    </w:p>
    <w:p>
      <w:pPr>
        <w:spacing w:before="240" w:after="240"/>
        <w:rPr>
          <w:lang w:val="el" w:eastAsia="el"/>
        </w:rPr>
      </w:pPr>
      <w:r>
        <w:rPr>
          <w:b/>
          <w:bCs/>
          <w:lang w:val="el" w:eastAsia="el"/>
        </w:rPr>
        <w:t xml:space="preserve">4.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5.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6.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Προϊσταμένων Γενικής Διεύθυνσης Φορολογίας και Τελωνείων &amp;ΕΦΚ</w:t>
      </w:r>
    </w:p>
    <w:p>
      <w:pPr>
        <w:spacing w:before="240" w:after="240"/>
        <w:rPr>
          <w:lang w:val="el" w:eastAsia="el"/>
        </w:rPr>
      </w:pPr>
      <w:r>
        <w:rPr>
          <w:b/>
          <w:bCs/>
          <w:lang w:val="el" w:eastAsia="el"/>
        </w:rPr>
        <w:t xml:space="preserve">3. </w:t>
      </w:r>
      <w:r>
        <w:rPr>
          <w:b/>
          <w:bCs/>
          <w:lang w:val="el" w:eastAsia="el"/>
        </w:rPr>
        <w:t>Δ/νση Νομικής Υποστήριξης</w:t>
      </w:r>
    </w:p>
    <w:p>
      <w:pPr>
        <w:spacing w:before="240" w:after="240"/>
        <w:rPr>
          <w:lang w:val="el" w:eastAsia="el"/>
        </w:rPr>
      </w:pPr>
      <w:r>
        <w:rPr>
          <w:b/>
          <w:bCs/>
          <w:lang w:val="el" w:eastAsia="el"/>
        </w:rPr>
        <w:t xml:space="preserve">4. </w:t>
      </w:r>
      <w:r>
        <w:rPr>
          <w:b/>
          <w:bCs/>
          <w:lang w:val="el" w:eastAsia="el"/>
        </w:rPr>
        <w:t>Δ/νση Διαδικασιών Εισπράξεων και Επιστροφών - Τμήματα Α, Β, Γ, Γραμματεία</w:t>
      </w:r>
    </w:p>
    <w:p>
      <w:pPr>
        <w:spacing w:before="240" w:after="240"/>
        <w:rPr>
          <w:lang w:val="el" w:eastAsia="el"/>
        </w:rPr>
      </w:pPr>
      <w:r>
        <w:rPr>
          <w:b/>
          <w:bCs/>
          <w:lang w:val="el" w:eastAsia="el"/>
        </w:rPr>
        <w:t xml:space="preserve">5. </w:t>
      </w:r>
      <w:r>
        <w:rPr>
          <w:b/>
          <w:bCs/>
          <w:lang w:val="el" w:eastAsia="el"/>
        </w:rPr>
        <w:t>Δ/νση Τελωνειακών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td@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