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υπό στοιχεία Α.1203/16-5-2019 απόφασης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121, 121α, 122, 123, 124, 126, των παρ. 6 και 9 του άρθρου 130 και ιδίως της παρ. 10 του άρθρου 123 και του πρώτου εδαφίου της παρ. 4 του άρθρου 126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4 και της παρ. 2 του άρθρου 5 του ν. 1573/1985 (Α' 201),</w:t>
      </w:r>
    </w:p>
    <w:p>
      <w:pPr>
        <w:pStyle w:val="StructureList1"/>
        <w:spacing w:before="120" w:after="0"/>
        <w:rPr>
          <w:lang w:val="el" w:eastAsia="el"/>
        </w:rPr>
      </w:pPr>
      <w:r>
        <w:rPr>
          <w:lang w:val="el" w:eastAsia="el"/>
        </w:rPr>
        <w:t>δ)</w:t>
      </w:r>
      <w:r>
        <w:rPr>
          <w:lang w:val="en" w:eastAsia="en"/>
        </w:rPr>
        <w:tab/>
      </w:r>
      <w:r>
        <w:rPr>
          <w:b/>
          <w:bCs/>
          <w:lang w:val="el" w:eastAsia="el"/>
        </w:rPr>
        <w:t>της παρ. 1 του άρθρου 16 του ν. 2227/1994 (Α' 129),</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Δ19Α 5041533 ΕΞ 2013/2-12-2013 απόφαση του Υφυπουργού Οικονομικών «Καθιέρωση πληροφορικού συστήματος ICISnet και ηλεκτρονικών συναλλαγών, σε πλήρη εφαρμογή» (Β΄3051).</w:t>
      </w:r>
    </w:p>
    <w:p>
      <w:pPr>
        <w:pStyle w:val="PreambelText"/>
        <w:spacing w:before="240" w:after="240"/>
        <w:rPr>
          <w:lang w:val="el" w:eastAsia="el"/>
        </w:rPr>
      </w:pPr>
      <w:r>
        <w:rPr>
          <w:lang w:val="el" w:eastAsia="el"/>
        </w:rPr>
        <w:t xml:space="preserve">3. </w:t>
      </w:r>
      <w:r>
        <w:rPr>
          <w:b/>
          <w:bCs/>
          <w:lang w:val="el" w:eastAsia="el"/>
        </w:rPr>
        <w:t>Την υπό στοιχεία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lang w:val="el" w:eastAsia="el"/>
        </w:rPr>
        <w:t xml:space="preserve">4. </w:t>
      </w:r>
      <w:r>
        <w:rPr>
          <w:b/>
          <w:bCs/>
          <w:lang w:val="el" w:eastAsia="el"/>
        </w:rPr>
        <w:t>Την υπό στοιχεία ΔΤΔ Α 1184721 ΕΞ 2016/16-12-2016 απόφαση του Γενικού Γραμματέα Δημοσίων Εσόδων «Υποχρεωτική ηλεκτρονική υποβολή των υποστηρικτικών της διασάφησης εισαγωγής εγγράφων - Τήρηση αρχείου» (Β΄4488).</w:t>
      </w:r>
    </w:p>
    <w:p>
      <w:pPr>
        <w:pStyle w:val="PreambelText"/>
        <w:spacing w:before="240" w:after="240"/>
        <w:rPr>
          <w:lang w:val="el" w:eastAsia="el"/>
        </w:rPr>
      </w:pPr>
      <w:r>
        <w:rPr>
          <w:lang w:val="el" w:eastAsia="el"/>
        </w:rPr>
        <w:t xml:space="preserve">5. </w:t>
      </w:r>
      <w:r>
        <w:rPr>
          <w:b/>
          <w:bCs/>
          <w:lang w:val="el" w:eastAsia="el"/>
        </w:rPr>
        <w:t>Την υπό στοιχεία Α. 1051/06-02-2019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pStyle w:val="PreambelText"/>
        <w:spacing w:before="240" w:after="240"/>
        <w:rPr>
          <w:lang w:val="el" w:eastAsia="el"/>
        </w:rPr>
      </w:pPr>
      <w:r>
        <w:rPr>
          <w:lang w:val="el" w:eastAsia="el"/>
        </w:rPr>
        <w:t xml:space="preserve">6. </w:t>
      </w:r>
      <w:r>
        <w:rPr>
          <w:b/>
          <w:bCs/>
          <w:lang w:val="el" w:eastAsia="el"/>
        </w:rPr>
        <w:t>Την υπό στοιχεία Α.1203/16-5-2019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PreambelText"/>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υπ΄αρ. 02/13-01-2025 του Συμβουλίου Διοίκησης της ΑΑΔΕ και υπό στοιχεία 7608 ΕΞ 2025/17-01-2025 του Υπουργού Εθνικής Οικονομίας και Οικονομικών «Ανανέωση της θητείας του Διοικητή της Ανεξάρτητης Αρχής Δημοσίων Εσόδων (Α.Α.Δ.Ε.)»(Υ.Ο.Ο.Δ. 11).</w:t>
      </w:r>
    </w:p>
    <w:p>
      <w:pPr>
        <w:pStyle w:val="PreambelText"/>
        <w:spacing w:before="240" w:after="240"/>
        <w:rPr>
          <w:lang w:val="el" w:eastAsia="el"/>
        </w:rPr>
      </w:pPr>
      <w:r>
        <w:rPr>
          <w:lang w:val="el" w:eastAsia="el"/>
        </w:rPr>
        <w:t xml:space="preserve">8. </w:t>
      </w:r>
      <w:r>
        <w:rPr>
          <w:b/>
          <w:bCs/>
          <w:lang w:val="el" w:eastAsia="el"/>
        </w:rPr>
        <w:t>Την ανάγκη επικαιροποίησης της υπό στοιχεία Α.1203/16-5-2019 απόφασης Διοικητή της Α.Α.Δ.Ε., στο πλαίσιο της καθιέρωσης της νέας διαδικασίας κεντρικοποίησης των ελέγχων και του φυσικού ελέγχου των οχημάτων, με σκοπό την απλούστευση της διαδικασίας προσδιορισμού της φορολογητέας αξίας, τον εκσυγχρονισμό των διαδικασιών και την προσαρμογή αυτών με το ψηφιακό περιβάλλον της τελωνειακής υπηρεσίας.</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10. </w:t>
      </w:r>
      <w:r>
        <w:rPr>
          <w:b/>
          <w:bCs/>
          <w:lang w:val="el" w:eastAsia="el"/>
        </w:rPr>
        <w:t>Το γεγονός ότι με τις διατάξεις της παρούσας τροποποιείται η διοικητική διαδικασία με επίσημο τίτλο «Δικαιολογητικά και διατυπώσεις προσδιορισμού και διαμόρφωσης φορολογητέας αξίας για επιβολή τέλους ταξινόμησης οχημάτων» και Μοναδικό Αριθμό Καταχώρισης (Μ.Α.Κ.) στο ΕΜΔΔ «Μίτος» 838917.</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Α.1203/16-5-2019 (Β’1933) απόφαση του Διοικητή της Α.Α.Δ.Ε.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5 τροποποιούνται οι περ. ε. και ζ. της παρ.1, καταργούνται οι περ. γ. και δ. της παρ. 2 και οι παρ. 1 και 2 του άρθρου 5 διαμορφώνονται, ως εξής:</w:t>
      </w:r>
    </w:p>
    <w:p>
      <w:pPr>
        <w:spacing w:before="240" w:after="240"/>
        <w:rPr>
          <w:lang w:val="el" w:eastAsia="el"/>
        </w:rPr>
      </w:pPr>
      <w:r>
        <w:rPr>
          <w:b/>
          <w:bCs/>
          <w:lang w:val="el" w:eastAsia="el"/>
        </w:rPr>
        <w:t>«1. Τα έγγραφα που, κατά περίπτωση, συνυποβάλλονται, με το παραστατικό θέσης σε ανάλωση ενός οχήματος, μεταξύ άλλων και για τον προσδιορισμό και τη διαμόρφωση της φορολογητέας αξίας, είναι τα ακόλουθα:</w:t>
      </w:r>
    </w:p>
    <w:p>
      <w:pPr>
        <w:spacing w:before="240" w:after="240"/>
        <w:rPr>
          <w:lang w:val="el" w:eastAsia="el"/>
        </w:rPr>
      </w:pPr>
      <w:r>
        <w:rPr>
          <w:b/>
          <w:bCs/>
          <w:lang w:val="el" w:eastAsia="el"/>
        </w:rPr>
        <w:t>α. Τιμολόγιο.</w:t>
      </w:r>
    </w:p>
    <w:p>
      <w:pPr>
        <w:spacing w:before="240" w:after="240"/>
        <w:rPr>
          <w:lang w:val="el" w:eastAsia="el"/>
        </w:rPr>
      </w:pPr>
      <w:r>
        <w:rPr>
          <w:b/>
          <w:bCs/>
          <w:lang w:val="el" w:eastAsia="el"/>
        </w:rPr>
        <w:t>β. Δήλωση Εξοπλισμού και Αξίας (Δ.Ε.Α.), ως ΠΑΡΑΡΤΗΜΑ Ι.</w:t>
      </w:r>
    </w:p>
    <w:p>
      <w:pPr>
        <w:spacing w:before="240" w:after="240"/>
        <w:rPr>
          <w:lang w:val="el" w:eastAsia="el"/>
        </w:rPr>
      </w:pPr>
      <w:r>
        <w:rPr>
          <w:b/>
          <w:bCs/>
          <w:lang w:val="el" w:eastAsia="el"/>
        </w:rPr>
        <w:t>γ. Δήλωση Εξοπλισμού, (Δ.Ε.), ως ΠΑΡΑΡΤΗΜΑ ΙΙ.</w:t>
      </w:r>
    </w:p>
    <w:p>
      <w:pPr>
        <w:spacing w:before="240" w:after="240"/>
        <w:rPr>
          <w:lang w:val="el" w:eastAsia="el"/>
        </w:rPr>
      </w:pPr>
      <w:r>
        <w:rPr>
          <w:b/>
          <w:bCs/>
          <w:lang w:val="el" w:eastAsia="el"/>
        </w:rPr>
        <w:t>δ. Αντίγραφα του πιστοποιητικού συμμόρφωσης,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 κατά περίπτωση.</w:t>
      </w:r>
    </w:p>
    <w:p>
      <w:pPr>
        <w:spacing w:before="240" w:after="240"/>
        <w:rPr>
          <w:lang w:val="el" w:eastAsia="el"/>
        </w:rPr>
      </w:pPr>
      <w:r>
        <w:rPr>
          <w:b/>
          <w:bCs/>
          <w:lang w:val="el" w:eastAsia="el"/>
        </w:rPr>
        <w:t>ε. Βεβαίωση, είτε του εργοστασίου κατασκευής, είτε από επίσημη αντιπροσωπεία του εξωτερικού ή εσωτερικού, από την οποία θα προκύπτουν, ανά κωδικό και περιγραφή, τα είδη του προαιρετικού (EXTRA) εξοπλισμού του οχήματος, σε κάθε περίπτωση με διακριτό τρόπο και σχετική αναφορά στον αριθμό πλαισίου και την έκδοση αυτού ή κάρτα εξοπλισμού, με βάση τον αριθμό πλαισίου του οχήματος, από οδηγούς/βάσεις δεδομένων εξοπλισμού οχημάτων.</w:t>
      </w:r>
    </w:p>
    <w:p>
      <w:pPr>
        <w:spacing w:before="240" w:after="240"/>
        <w:rPr>
          <w:lang w:val="el" w:eastAsia="el"/>
        </w:rPr>
      </w:pPr>
      <w:r>
        <w:rPr>
          <w:b/>
          <w:bCs/>
          <w:lang w:val="el" w:eastAsia="el"/>
        </w:rPr>
        <w:t>Επιπλέον, προκειμένου για μεταχειρισμένα επιβατικά οχήματα συνυποβάλλονται:</w:t>
      </w:r>
    </w:p>
    <w:p>
      <w:pPr>
        <w:spacing w:before="240" w:after="240"/>
        <w:rPr>
          <w:lang w:val="el" w:eastAsia="el"/>
        </w:rPr>
      </w:pPr>
      <w:r>
        <w:rPr>
          <w:b/>
          <w:bCs/>
          <w:lang w:val="el" w:eastAsia="el"/>
        </w:rPr>
        <w:t>στ. Φωτοαντίγραφα εκ του πρωτοτύπου των αλλοδαπών εγγράφων ταξινόμησης (άδεια κυκλοφορίας).</w:t>
      </w:r>
    </w:p>
    <w:p>
      <w:pPr>
        <w:spacing w:before="240" w:after="240"/>
        <w:rPr>
          <w:lang w:val="el" w:eastAsia="el"/>
        </w:rPr>
      </w:pPr>
      <w:r>
        <w:rPr>
          <w:b/>
          <w:bCs/>
          <w:lang w:val="el" w:eastAsia="el"/>
        </w:rPr>
        <w:t>ζ. Υπεύθυνη δήλωση του ν. 1599/1986 του υπόχρεου για την υποβολή του παραστατικού προσώπου, σχετικά με τον αριθμό των διανυθέντων χιλιομέτρων. Δεν απαιτείται η θεώρηση του γνησίου της υπογραφής της υπεύθυνης δήλωσης, όταν αυτή εκδίδεται μέσω της Ενιαίας Ψηφιακής Πύλης της Δημόσιας Διοίκησης (gov.gr-ΕΨΠ).</w:t>
      </w:r>
    </w:p>
    <w:p>
      <w:pPr>
        <w:spacing w:before="240" w:after="240"/>
        <w:rPr>
          <w:lang w:val="el" w:eastAsia="el"/>
        </w:rPr>
      </w:pPr>
      <w:r>
        <w:rPr>
          <w:b/>
          <w:bCs/>
          <w:lang w:val="el" w:eastAsia="el"/>
        </w:rPr>
        <w:t>2.α. Η Δήλωση Εξοπλισμού και Αξίας/Δήλωση Εξοπλισμού, η οποία συντάσσεται από τον υπόχρεο για την καταβολή του τέλους ταξινόμησης και για την υποβολή στην αρμόδια τελωνειακή αρχή του παραστατικού θέσης σε ανάλωση με τη μορφή δήλωσης, διαλαμβάνει όλα τα χαρακτηριστικά στοιχεία του οχήματος, συμπεριλαμβανομένου του βασικού και προαιρετικού (EXTRA) εξοπλισμού, κατά περίπτωση, καθώς και κάθε αναγκαίο στοιχείο, για τη διαμόρφωση της φορολογητέας αξίας.</w:t>
      </w:r>
    </w:p>
    <w:p>
      <w:pPr>
        <w:spacing w:before="240" w:after="240"/>
        <w:rPr>
          <w:lang w:val="el" w:eastAsia="el"/>
        </w:rPr>
      </w:pPr>
      <w:r>
        <w:rPr>
          <w:b/>
          <w:bCs/>
          <w:lang w:val="el" w:eastAsia="el"/>
        </w:rPr>
        <w:t>β. Η επαλήθευση των στοιχείων της Δήλωσης Εξοπλισμού και Αξίας και της Δήλωσης Εξοπλισμού διενεργείται με βάση τα συνυποβαλλόμενα, στο παραστατικό θέσης σε ανάλωση, δικαιολογητικά έγγραφα και τα στοιχεία που προκύπτουν από τον φυσικό έλεγχο, όπου αυτός απαιτείται, σύμφωνα και με τα οριζόμενα στην παρ. 3 του άρθρου 12.».</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6 τροποποιούνται το δεύτερο εδάφιο της περ. α. της παρ.1, η υποπερ. ββ. της περ. γ. της παρ.1, η περ. γ. της παρ.2 και οι παρ. 1 και 2 του άρθρου 6 διαμορφώνονται, ως εξής:</w:t>
      </w:r>
    </w:p>
    <w:p>
      <w:pPr>
        <w:spacing w:before="240" w:after="240"/>
        <w:rPr>
          <w:lang w:val="el" w:eastAsia="el"/>
        </w:rPr>
      </w:pPr>
      <w:r>
        <w:rPr>
          <w:b/>
          <w:bCs/>
          <w:lang w:val="el" w:eastAsia="el"/>
        </w:rPr>
        <w:t>«1. Για τον προσδιορισμό της φορολογητέας αξίας για την επιβολή του τέλους ταξινόμησης στα καινούργια επιβατικά αυτοκίνητα, για τα οποία έχει κατατεθεί και δημοσιευθεί τιμοκατάλογος, ακολουθείται η κατωτέρω διαδικασία:</w:t>
      </w:r>
    </w:p>
    <w:p>
      <w:pPr>
        <w:spacing w:before="240" w:after="240"/>
        <w:rPr>
          <w:lang w:val="el" w:eastAsia="el"/>
        </w:rPr>
      </w:pPr>
      <w:r>
        <w:rPr>
          <w:b/>
          <w:bCs/>
          <w:lang w:val="el" w:eastAsia="el"/>
        </w:rPr>
        <w:t>α. Ο υπόχρεος για την υποβολή του παραστατικού θέσης σε ανάλωση, συμπληρώνει στη Δήλωση Εξοπλισμού και Αξίας, σύμφωνα με το Υπόδειγμα του Παραρτήματος Ι, τη βασική λιανική τιμή πώλησης του αυτοκινήτου, κατά μάρκα, παραλλαγή και έκδοση, όπως αυτή αναγράφεται στον τιμοκατάλογο.</w:t>
      </w:r>
    </w:p>
    <w:p>
      <w:pPr>
        <w:spacing w:before="240" w:after="240"/>
        <w:rPr>
          <w:lang w:val="el" w:eastAsia="el"/>
        </w:rPr>
      </w:pPr>
      <w:r>
        <w:rPr>
          <w:b/>
          <w:bCs/>
          <w:lang w:val="el" w:eastAsia="el"/>
        </w:rPr>
        <w:t>Στις περιπτώσεις κατά τις οποίες υφίσταται δυσχέρεια αντιστοίχισης των επιβατικών αυτοκινήτων κατά μάρκα, παραλλαγή και έκδοση από τους δημοσιευμένους τιμοκαταλόγους, η αντιστοίχιση αυτή δύναται να προκύπτει από τα λοιπά συνυποβαλλόμενα στο παραστατικό θέσης σε ανάλωση του οχήματος έγγραφα του άρθρου 5, ήτοι της έγκρισης τύπου και του πιστοποιητικού συμμόρφωσης της περ. δ. της παρ. 1 ή της βεβαίωσης εξοπλισμού ή της κάρτας εξοπλισμού της περ. ε. της παρ. 1 αυτού.</w:t>
      </w:r>
    </w:p>
    <w:p>
      <w:pPr>
        <w:spacing w:before="240" w:after="240"/>
        <w:rPr>
          <w:lang w:val="el" w:eastAsia="el"/>
        </w:rPr>
      </w:pPr>
      <w:r>
        <w:rPr>
          <w:b/>
          <w:bCs/>
          <w:lang w:val="el" w:eastAsia="el"/>
        </w:rPr>
        <w:t>Εφόσον το αυτοκίνητο φέρει πρόσθετο (προαιρετικό/EXTRA) εξοπλισμό, στη Δήλωση Εξοπλισμού και Αξίας συμπληρώνεται, κατά κωδικό είδους ή κωδικό συνδυασμού ειδών, η περιγραφή και η αξία αυτού.</w:t>
      </w:r>
    </w:p>
    <w:p>
      <w:pPr>
        <w:spacing w:before="240" w:after="240"/>
        <w:rPr>
          <w:lang w:val="el" w:eastAsia="el"/>
        </w:rPr>
      </w:pPr>
      <w:r>
        <w:rPr>
          <w:b/>
          <w:bCs/>
          <w:lang w:val="el" w:eastAsia="el"/>
        </w:rPr>
        <w:t>β. Η Δήλωση Εξοπλισμού και Αξίας του Παραρτήματος Ι συνυποβάλλεται με το παραστατικό θέσης σε ανάλωση του αυτοκινήτου, στο οποίο δηλώνεται το σύνολο της φορολογητέας αξίας (βασική τιμή λιανικής πώλησης και αξία τυχόν πρόσθετου εξοπλισμού).</w:t>
      </w:r>
    </w:p>
    <w:p>
      <w:pPr>
        <w:spacing w:before="240" w:after="240"/>
        <w:rPr>
          <w:lang w:val="el" w:eastAsia="el"/>
        </w:rPr>
      </w:pPr>
      <w:r>
        <w:rPr>
          <w:b/>
          <w:bCs/>
          <w:lang w:val="el" w:eastAsia="el"/>
        </w:rPr>
        <w:t>γ. Τα δικαιολογητικά που απαιτούνται, κατά την υποβολή του παραστατικού θέσης σε ανάλωση, πέραν της Δήλωσης Εξοπλισμού και Αξίας, είναι:</w:t>
      </w:r>
    </w:p>
    <w:p>
      <w:pPr>
        <w:spacing w:before="240" w:after="240"/>
        <w:rPr>
          <w:lang w:val="el" w:eastAsia="el"/>
        </w:rPr>
      </w:pPr>
      <w:r>
        <w:rPr>
          <w:b/>
          <w:bCs/>
          <w:lang w:val="el" w:eastAsia="el"/>
        </w:rPr>
        <w:t>αα. Τιμολόγιο αγοράς για αυτοκίνητα που εισάγονται από τρίτες χώρες ή αποκτώνται από άλλο κράτος μέλος της ΕΕ.</w:t>
      </w:r>
    </w:p>
    <w:p>
      <w:pPr>
        <w:spacing w:before="240" w:after="240"/>
        <w:rPr>
          <w:lang w:val="el" w:eastAsia="el"/>
        </w:rPr>
      </w:pPr>
      <w:r>
        <w:rPr>
          <w:b/>
          <w:bCs/>
          <w:lang w:val="el" w:eastAsia="el"/>
        </w:rPr>
        <w:t>ββ. Βεβαίωση εξοπλισμού με αναφορά στον αριθμό πλαισίου του οχήματος, στην οποία επισημαίνεται διακριτά ο πρόσθετος/προαιρετικός εξοπλισμός ή κάρτα εξοπλισμού, με βάση τον αριθμό πλαισίου του οχήματος, από οδηγούς/βάσεις δεδομένων εξοπλισμού οχημάτων.</w:t>
      </w:r>
    </w:p>
    <w:p>
      <w:pPr>
        <w:spacing w:before="240" w:after="240"/>
        <w:rPr>
          <w:lang w:val="el" w:eastAsia="el"/>
        </w:rPr>
      </w:pPr>
      <w:r>
        <w:rPr>
          <w:b/>
          <w:bCs/>
          <w:lang w:val="el" w:eastAsia="el"/>
        </w:rPr>
        <w:t>γγ. Αντίγραφα του πιστοποιητικού συμμόρφωσης και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 κατά περίπτωση.</w:t>
      </w:r>
    </w:p>
    <w:p>
      <w:pPr>
        <w:spacing w:before="240" w:after="240"/>
        <w:rPr>
          <w:lang w:val="el" w:eastAsia="el"/>
        </w:rPr>
      </w:pPr>
      <w:r>
        <w:rPr>
          <w:lang w:val="el" w:eastAsia="el"/>
        </w:rPr>
        <w:t xml:space="preserve">2. </w:t>
      </w:r>
      <w:r>
        <w:rPr>
          <w:b/>
          <w:bCs/>
          <w:lang w:val="el" w:eastAsia="el"/>
        </w:rPr>
        <w:t>Για τον προσδιορισμό της φορολογητέας αξίας για την επιβολή του τέλους ταξινόμησης στα μεταχειρισμένα επιβατικά αυτοκίνητα, για τα οποία έχει κατατεθεί και δημοσιευθεί τιμοκατάλογος από αντιπροσώπους/επίσημους διανομείς/παραγωγούς, ακολουθείται η διαδικασία της παρ. 1.</w:t>
      </w:r>
    </w:p>
    <w:p>
      <w:pPr>
        <w:spacing w:before="240" w:after="240"/>
        <w:rPr>
          <w:lang w:val="el" w:eastAsia="el"/>
        </w:rPr>
      </w:pPr>
      <w:r>
        <w:rPr>
          <w:b/>
          <w:bCs/>
          <w:lang w:val="el" w:eastAsia="el"/>
        </w:rPr>
        <w:t>Συγκεκριμένα, το υπόχρεο πρόσωπο για την υποβολή του παραστατικού θέσης σε ανάλωση του αυτοκινήτου, προβαίνει στη συμπλήρωση της Δήλωσης Εξοπλισμού και Αξίας ως ανωτέρω και του συνόλου της φορολογητέας αξίας στο παραστατικό, συνυποβάλλοντας με αυτό, τα δικαιολογητικά των περ. α., β., δ., ε., στ. και ζ. της παρ. 1 του άρθρου 5.</w:t>
      </w:r>
    </w:p>
    <w:p>
      <w:pPr>
        <w:spacing w:before="240" w:after="240"/>
        <w:rPr>
          <w:lang w:val="el" w:eastAsia="el"/>
        </w:rPr>
      </w:pPr>
      <w:r>
        <w:rPr>
          <w:b/>
          <w:bCs/>
          <w:lang w:val="el" w:eastAsia="el"/>
        </w:rPr>
        <w:t>Στις περιπτώσεις, κατά τις οποίες υφίσταται δυσχέρεια αντιστοίχισης των επιβατικών αυτοκινήτων κατά μάρκα, παραλλαγή και έκδοση από τους δημοσιευμένους τιμοκαταλόγους, η αντιστοίχιση αυτή δύναται να προκύπτει από τα λοιπά συνυποβαλλόμενα στο παραστατικό θέσης σε ανάλωση του οχήματος έγγραφα, ήτοι:</w:t>
      </w:r>
    </w:p>
    <w:p>
      <w:pPr>
        <w:spacing w:before="240" w:after="240"/>
        <w:rPr>
          <w:lang w:val="el" w:eastAsia="el"/>
        </w:rPr>
      </w:pPr>
      <w:r>
        <w:rPr>
          <w:b/>
          <w:bCs/>
          <w:lang w:val="el" w:eastAsia="el"/>
        </w:rPr>
        <w:t>α) της άδειας κυκλοφορίας,</w:t>
      </w:r>
    </w:p>
    <w:p>
      <w:pPr>
        <w:spacing w:before="240" w:after="240"/>
        <w:rPr>
          <w:lang w:val="el" w:eastAsia="el"/>
        </w:rPr>
      </w:pPr>
      <w:r>
        <w:rPr>
          <w:b/>
          <w:bCs/>
          <w:lang w:val="el" w:eastAsia="el"/>
        </w:rPr>
        <w:t>β) της έγκρισης τύπου και του πιστοποιητικού συμμόρφωσης της περ. δ της παρ. 1 του άρθρου 5 ή</w:t>
      </w:r>
    </w:p>
    <w:p>
      <w:pPr>
        <w:spacing w:before="240" w:after="240"/>
        <w:rPr>
          <w:lang w:val="el" w:eastAsia="el"/>
        </w:rPr>
      </w:pPr>
      <w:r>
        <w:rPr>
          <w:b/>
          <w:bCs/>
          <w:lang w:val="el" w:eastAsia="el"/>
        </w:rPr>
        <w:t>γ) της βεβαίωσης εξοπλισμού ή της κάρτας εξοπλισμού της περ. ε. της παρ. 1 του άρθρου 5, υπό τον όρο ότι αντιστοιχίζονται σωρευτικά τα κάτωθι χαρακτηριστικά του οχήματος: έτος κυκλοφορίας, μάρκα, μοντέλο, κυβικά, ιπποδύναμη και εκπομπές ρύπων. Στις περιπτώσεις που στους δημοσιευθέντες τιμοκαταλόγους υπάρχουν παραπάνω από μία εκδόσεις με τα ίδια χαρακτηριστικά οχήματος (έτος κυκλοφορίας, μάρκα, μοντέλο, κυβικά, ιπποδύναμη, εκπομπές ρύπων), η κάρτα εξοπλισμού δύναται να χρησιμοποιηθεί μόνο όταν από τα στοιχεία που περιέχει γίνεται ακριβής αντιστοίχιση του οχήματος σε μία και μόνο έκδοση.».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άρθρο 12 τροποποιούνται η περ. ε. στην παρ. 1 και η παρ. 2 και οι παρ. 1 και 2 του άρθρου 12 διαμορφώνονται, ως εξής:</w:t>
      </w:r>
    </w:p>
    <w:p>
      <w:pPr>
        <w:spacing w:before="240" w:after="240"/>
        <w:rPr>
          <w:lang w:val="el" w:eastAsia="el"/>
        </w:rPr>
      </w:pPr>
      <w:r>
        <w:rPr>
          <w:b/>
          <w:bCs/>
          <w:lang w:val="el" w:eastAsia="el"/>
        </w:rPr>
        <w:t>«1. Οι Τελωνειακές Περιφέρειες, στις οποίες υποβάλλονται, κατά τα οριζόμενα στο άρθρο 2 της παρούσας, από τα υπόχρεα πρόσωπα, οι τιμοκατάλογοι λιανικής τιμής πώλησης προ φόρων και χονδρικής τιμής πώλησης των αυτοκινήτων οχημάτων και μοτοσικλετών, οι τιμές των οποίων αποτελούν το βασικό διαμορφωτικό στοιχείο της φορολογητέας αξίας, προβαίνουν, εκτός των ελέγχων που προβλέπονται στο άρθρο 2 της παρούσας και αφορούν στους τιμοκαταλόγους, επιπλέον και στα ακόλουθα, ως προς τον προσδιορισμό ή τον καθορισμό της αξίας:</w:t>
      </w:r>
    </w:p>
    <w:p>
      <w:pPr>
        <w:spacing w:before="240" w:after="240"/>
        <w:rPr>
          <w:lang w:val="el" w:eastAsia="el"/>
        </w:rPr>
      </w:pPr>
      <w:r>
        <w:rPr>
          <w:b/>
          <w:bCs/>
          <w:lang w:val="el" w:eastAsia="el"/>
        </w:rPr>
        <w:t>α. έλεγχο ορθής αντιστοίχισης των οχημάτων με τα αντίστοιχα αναφερόμενα οχήματα του τιμοκαταλόγου, στον οποίο εμπίπτουν, κατά την ημερομηνία που το τέλος ταξινόμησης καθίσταται απαιτητό,</w:t>
      </w:r>
    </w:p>
    <w:p>
      <w:pPr>
        <w:spacing w:before="240" w:after="240"/>
        <w:rPr>
          <w:lang w:val="el" w:eastAsia="el"/>
        </w:rPr>
      </w:pPr>
      <w:r>
        <w:rPr>
          <w:b/>
          <w:bCs/>
          <w:lang w:val="el" w:eastAsia="el"/>
        </w:rPr>
        <w:t>β. έλεγχο στις περιπτώσεις που, λόγω εύλογων αμφιβολιών, η δηλωθείσα αξία δεν αντιπροσωπεύει το πράγματι πληρωθέν ή πληρωτέο ποσό,</w:t>
      </w:r>
    </w:p>
    <w:p>
      <w:pPr>
        <w:spacing w:before="240" w:after="240"/>
        <w:rPr>
          <w:lang w:val="el" w:eastAsia="el"/>
        </w:rPr>
      </w:pPr>
      <w:r>
        <w:rPr>
          <w:b/>
          <w:bCs/>
          <w:lang w:val="el" w:eastAsia="el"/>
        </w:rPr>
        <w:t>γ. έλεγχο για την πλήρη αντιστοίχιση των τιμοκαταλόγων που κατατίθενται από επίσημους διανομείς και άλλα υπόχρεα πρόσωπα και αυτών που δημοσιεύονται στο διαδίκτυο, καθώς και</w:t>
      </w:r>
    </w:p>
    <w:p>
      <w:pPr>
        <w:spacing w:before="240" w:after="240"/>
        <w:rPr>
          <w:lang w:val="el" w:eastAsia="el"/>
        </w:rPr>
      </w:pPr>
      <w:r>
        <w:rPr>
          <w:b/>
          <w:bCs/>
          <w:lang w:val="el" w:eastAsia="el"/>
        </w:rPr>
        <w:t>δ. έλεγχο ορθής συμπλήρωσης της Δήλωσης Εξοπλισμού και Αξίας ή της Δήλωσης Εξοπλισμού και των λοιπών δικαιολογητικών εγγράφων που λαμβάνονται υπόψη για τον προσδιορισμό της φορολογητέας αξίας,</w:t>
      </w:r>
    </w:p>
    <w:p>
      <w:pPr>
        <w:spacing w:before="240" w:after="240"/>
        <w:rPr>
          <w:lang w:val="el" w:eastAsia="el"/>
        </w:rPr>
      </w:pPr>
      <w:r>
        <w:rPr>
          <w:b/>
          <w:bCs/>
          <w:lang w:val="el" w:eastAsia="el"/>
        </w:rPr>
        <w:t>ε. επαλήθευση της αυθεντικότητας της κάρτας εξοπλισμού της περ. ε. της παρ. 1 του άρθρου 5 που υποβάλλεται από το υπόχρεο πρόσωπο, μέσω της απόκτησης πρόσβασης σε οδηγούς/βάσεις δεδομένων οχημάτων. Η επαλήθευση δύναται να πραγματοποιείται, είτε κατά τον προσδιορισμό από την αρμόδια Τελωνειακή Περιφέρεια της φορολογητέας αξίας, είτε εκ των υστέρων.</w:t>
      </w:r>
    </w:p>
    <w:p>
      <w:pPr>
        <w:spacing w:before="240" w:after="240"/>
        <w:rPr>
          <w:lang w:val="el" w:eastAsia="el"/>
        </w:rPr>
      </w:pPr>
      <w:r>
        <w:rPr>
          <w:b/>
          <w:bCs/>
          <w:lang w:val="el" w:eastAsia="el"/>
        </w:rPr>
        <w:t>Στις περιπτώσεις των ειδικών δηλώσεων βεβαίωσης και είσπραξης του τέλους ταξινόμησης που δεν προσδιορίζεται αξία από την αρμόδια Τελωνειακή Περιφέρεια, η επαλήθευση της αυθεντικότητας της κάρτας εξοπλισμού της περ. ε. της παρ. 1 του άρθρου 5 δύναται να πραγματοποιείται στο πλαίσιο των υστέρων ελέγχων, από τις αρμόδιες για την βεβαίωση του τέλους ταξινόμησης τελωνειακές αρχές, στις οποίες υποβάλλονται οι ως άνω ειδικές δηλώσεις, μέσω της πρόσβασης τους σε οδηγούς/βάσεις δεδομένων οχημάτων.</w:t>
      </w:r>
    </w:p>
    <w:p>
      <w:pPr>
        <w:spacing w:before="240" w:after="240"/>
        <w:rPr>
          <w:lang w:val="el" w:eastAsia="el"/>
        </w:rPr>
      </w:pPr>
      <w:r>
        <w:rPr>
          <w:lang w:val="el" w:eastAsia="el"/>
        </w:rPr>
        <w:t xml:space="preserve">2. </w:t>
      </w:r>
      <w:r>
        <w:rPr>
          <w:b/>
          <w:bCs/>
          <w:lang w:val="el" w:eastAsia="el"/>
        </w:rPr>
        <w:t>Οι Τελωνειακές Περιφέρειες δύναται να ζητήσουν τη συνδρομή των αρμόδιων ελεγκτικών υπηρεσιών της Γενικής Διεύθυνσης Τελωνείων και Ε.Φ.Κ., στο πλαίσιο των ως άνω ελέγχων. Κατά τη διενέργεια των οιωνδήποτε ελέγχων, δύναται επίσης, να ζητούν τη συνδρομή των μελών του Συνδέσμου Εισαγωγέων Αντιπροσώπων Αυτοκινήτων, προκειμένου για την επαλήθευση του βασικού και του πρόσθετου εξοπλισμού που φέρουν εκ κατασκευής τα οχήματα, με βάση τον αριθμό πλαισίου αυτών και σχετικά στοιχεία του εργοστασίου κατασκευής, καθώς επίσης και για την επαλήθευση της αυθεντικότητας της βεβαίωσης εξοπλισμού του επίσημου αντιπροσώπου της περ. ε. της παρ. 1 του άρθρου 5 που υποβάλλεται από το υπόχρεο υποβολής της ειδικής δήλωσης πρόσωπο.».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Τα οριζόμενα στο άρθρο 1 ισχύουν και για παραστατικά θέσης σε ανάλωση οχημάτων που έχουν υποβληθεί πριν την έναρξη ισχύος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siteadmin@ 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Λοιποί Αποδέκτες Πίνακα Γ΄</w:t>
      </w:r>
    </w:p>
    <w:p>
      <w:pPr>
        <w:spacing w:before="240" w:after="240"/>
        <w:rPr>
          <w:lang w:val="el" w:eastAsia="el"/>
        </w:rPr>
      </w:pPr>
      <w:r>
        <w:rPr>
          <w:b/>
          <w:bCs/>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Δ/νση Εσωτερικού Ελέγχου</w:t>
      </w:r>
    </w:p>
    <w:p>
      <w:pPr>
        <w:spacing w:before="240" w:after="240"/>
        <w:rPr>
          <w:lang w:val="el" w:eastAsia="el"/>
        </w:rPr>
      </w:pPr>
      <w:r>
        <w:rPr>
          <w:b/>
          <w:bCs/>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b/>
          <w:bCs/>
          <w:lang w:val="el" w:eastAsia="el"/>
        </w:rPr>
        <w:t xml:space="preserve">9. </w:t>
      </w:r>
      <w:r>
        <w:rPr>
          <w:b/>
          <w:bCs/>
          <w:lang w:val="el" w:eastAsia="el"/>
        </w:rPr>
        <w:t>Δ/νση Νομικής Υποστήριξης Α.Α.Δ.Ε.</w:t>
      </w:r>
    </w:p>
    <w:p>
      <w:pPr>
        <w:spacing w:before="240" w:after="240"/>
        <w:rPr>
          <w:lang w:val="el" w:eastAsia="el"/>
        </w:rPr>
      </w:pPr>
      <w:r>
        <w:rPr>
          <w:b/>
          <w:bCs/>
          <w:lang w:val="el" w:eastAsia="el"/>
        </w:rPr>
        <w:t xml:space="preserve">10. </w:t>
      </w:r>
      <w:r>
        <w:rPr>
          <w:b/>
          <w:bCs/>
          <w:lang w:val="el" w:eastAsia="el"/>
        </w:rPr>
        <w:t>Διεύθυνση Επικοινωνίας</w:t>
      </w:r>
    </w:p>
    <w:p>
      <w:pPr>
        <w:spacing w:before="240" w:after="240"/>
        <w:rPr>
          <w:lang w:val="el" w:eastAsia="el"/>
        </w:rPr>
      </w:pPr>
      <w:r>
        <w:rPr>
          <w:b/>
          <w:bCs/>
          <w:lang w:val="el" w:eastAsia="el"/>
        </w:rPr>
        <w:t xml:space="preserve">11. </w:t>
      </w:r>
      <w:r>
        <w:rPr>
          <w:b/>
          <w:bCs/>
          <w:lang w:val="el" w:eastAsia="el"/>
        </w:rPr>
        <w:t>Δ/νση Εφαρμογής Έμμεσης Φορολογίας Τμήμα Β’ Τελών και Ειδικών ορολογιών</w:t>
      </w:r>
    </w:p>
    <w:p>
      <w:pPr>
        <w:spacing w:before="240" w:after="240"/>
        <w:rPr>
          <w:lang w:val="el" w:eastAsia="el"/>
        </w:rPr>
      </w:pPr>
      <w:r>
        <w:rPr>
          <w:b/>
          <w:bCs/>
          <w:lang w:val="el" w:eastAsia="el"/>
        </w:rPr>
        <w:t xml:space="preserve">12. </w:t>
      </w:r>
      <w:r>
        <w:rPr>
          <w:b/>
          <w:bCs/>
          <w:lang w:val="el" w:eastAsia="el"/>
        </w:rPr>
        <w:t>Υπουργείο Υποδομών και Μεταφορών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Δ/νση Μεταφορών Δ/νση Επιβατικών Μεταφορών (Δ32)</w:t>
      </w:r>
    </w:p>
    <w:p>
      <w:pPr>
        <w:spacing w:before="240" w:after="240"/>
        <w:rPr>
          <w:lang w:val="el" w:eastAsia="el"/>
        </w:rPr>
      </w:pPr>
      <w:r>
        <w:rPr>
          <w:b/>
          <w:bCs/>
          <w:lang w:val="el" w:eastAsia="el"/>
        </w:rPr>
        <w:t>Αναστάσεως 2 &amp; Τσιγάντε, Τ.Κ.101 91 Παπάγου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Διοικητικών Υπηρεσιών Δ/νση Διοικητικής Οργάνωσης (Δ6)</w:t>
      </w:r>
    </w:p>
    <w:p>
      <w:pPr>
        <w:spacing w:before="240" w:after="240"/>
        <w:rPr>
          <w:lang w:val="el" w:eastAsia="el"/>
        </w:rPr>
      </w:pPr>
      <w:r>
        <w:rPr>
          <w:b/>
          <w:bCs/>
          <w:lang w:val="el" w:eastAsia="el"/>
        </w:rPr>
        <w:t>Χαριλάου Τρικούπη 182,Τ.Κ.101 78</w:t>
      </w:r>
    </w:p>
    <w:p>
      <w:pPr>
        <w:spacing w:before="240" w:after="240"/>
        <w:rPr>
          <w:lang w:val="el" w:eastAsia="el"/>
        </w:rPr>
      </w:pPr>
      <w:r>
        <w:rPr>
          <w:b/>
          <w:bCs/>
          <w:lang w:val="el" w:eastAsia="el"/>
        </w:rPr>
        <w:t xml:space="preserve">13.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 xml:space="preserve">14. </w:t>
      </w:r>
      <w:r>
        <w:rPr>
          <w:b/>
          <w:bCs/>
          <w:lang w:val="el" w:eastAsia="el"/>
        </w:rPr>
        <w:t>Σύλλογος Εκτελωνιστών, Αθήνας – Πειραιά Τσαμαδού 38 - Τ. Κ. 18531, Πειραιάς</w:t>
      </w:r>
    </w:p>
    <w:p>
      <w:pPr>
        <w:spacing w:before="240" w:after="240"/>
        <w:rPr>
          <w:lang w:val="el" w:eastAsia="el"/>
        </w:rPr>
      </w:pPr>
      <w:r>
        <w:rPr>
          <w:b/>
          <w:bCs/>
          <w:lang w:val="el" w:eastAsia="el"/>
        </w:rPr>
        <w:t xml:space="preserve">15. </w:t>
      </w:r>
      <w:r>
        <w:rPr>
          <w:b/>
          <w:bCs/>
          <w:lang w:val="el" w:eastAsia="el"/>
        </w:rPr>
        <w:t>Σύλλογος Εκτελωνιστών Θεσσαλονίκης Κουντουριώτου 13 - Τ.Κ. 54626, Θεσσαλονίκη</w:t>
      </w:r>
    </w:p>
    <w:p>
      <w:pPr>
        <w:spacing w:before="240" w:after="240"/>
        <w:rPr>
          <w:lang w:val="el" w:eastAsia="el"/>
        </w:rPr>
      </w:pPr>
      <w:r>
        <w:rPr>
          <w:b/>
          <w:bCs/>
          <w:lang w:val="el" w:eastAsia="el"/>
        </w:rPr>
        <w:t xml:space="preserve">16. </w:t>
      </w:r>
      <w:r>
        <w:rPr>
          <w:b/>
          <w:bCs/>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b/>
          <w:bCs/>
          <w:lang w:val="el" w:eastAsia="el"/>
        </w:rPr>
        <w:t xml:space="preserve">17. </w:t>
      </w:r>
      <w:r>
        <w:rPr>
          <w:b/>
          <w:bCs/>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b/>
          <w:bCs/>
          <w:lang w:val="el" w:eastAsia="el"/>
        </w:rPr>
        <w:t xml:space="preserve">18.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Τ.Κ.152 32 Χαλάνδρι</w:t>
      </w:r>
    </w:p>
    <w:p>
      <w:pPr>
        <w:spacing w:before="240" w:after="240"/>
        <w:rPr>
          <w:lang w:val="el" w:eastAsia="el"/>
        </w:rPr>
      </w:pPr>
      <w:r>
        <w:rPr>
          <w:b/>
          <w:bCs/>
          <w:lang w:val="el" w:eastAsia="el"/>
        </w:rPr>
        <w:t xml:space="preserve">19.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248,Τ.Κ. 176 75 Καλλιθέα</w:t>
      </w:r>
    </w:p>
    <w:p>
      <w:pPr>
        <w:spacing w:before="240" w:after="240"/>
        <w:rPr>
          <w:lang w:val="el" w:eastAsia="el"/>
        </w:rPr>
      </w:pPr>
      <w:r>
        <w:rPr>
          <w:b/>
          <w:bCs/>
          <w:lang w:val="el" w:eastAsia="el"/>
        </w:rPr>
        <w:t xml:space="preserve">20. </w:t>
      </w:r>
      <w:r>
        <w:rPr>
          <w:b/>
          <w:bCs/>
          <w:lang w:val="el" w:eastAsia="el"/>
        </w:rPr>
        <w:t>Πανελλήνια Ομοσπονδία ΤΑΞΙ &amp; Αγοραίων</w:t>
      </w:r>
    </w:p>
    <w:p>
      <w:pPr>
        <w:spacing w:before="240" w:after="240"/>
        <w:rPr>
          <w:lang w:val="el" w:eastAsia="el"/>
        </w:rPr>
      </w:pPr>
      <w:r>
        <w:rPr>
          <w:b/>
          <w:bCs/>
          <w:lang w:val="el" w:eastAsia="el"/>
        </w:rPr>
        <w:t>Πειραιώς 4,Τ.Κ. 104 31 Αθήνα</w:t>
      </w:r>
    </w:p>
    <w:p>
      <w:pPr>
        <w:spacing w:before="240" w:after="240"/>
        <w:rPr>
          <w:lang w:val="el" w:eastAsia="el"/>
        </w:rPr>
      </w:pPr>
      <w:r>
        <w:rPr>
          <w:b/>
          <w:bCs/>
          <w:lang w:val="el" w:eastAsia="el"/>
        </w:rPr>
        <w:t xml:space="preserve">21. </w:t>
      </w:r>
      <w:r>
        <w:rPr>
          <w:b/>
          <w:bCs/>
          <w:lang w:val="el" w:eastAsia="el"/>
        </w:rPr>
        <w:t>Συνδικάτο Αυτοκινητιστών ταξί Αττικής (Σ.Α.Τ.Α.)</w:t>
      </w:r>
    </w:p>
    <w:p>
      <w:pPr>
        <w:spacing w:before="240" w:after="240"/>
        <w:rPr>
          <w:lang w:val="el" w:eastAsia="el"/>
        </w:rPr>
      </w:pPr>
      <w:r>
        <w:rPr>
          <w:b/>
          <w:bCs/>
          <w:lang w:val="el" w:eastAsia="el"/>
        </w:rPr>
        <w:t>Μάρνη 17, Τ.Κ.104 33 Αθήνα</w:t>
      </w:r>
    </w:p>
    <w:p>
      <w:pPr>
        <w:spacing w:before="240" w:after="240"/>
        <w:rPr>
          <w:lang w:val="el" w:eastAsia="el"/>
        </w:rPr>
      </w:pPr>
      <w:r>
        <w:rPr>
          <w:b/>
          <w:bCs/>
          <w:lang w:val="el" w:eastAsia="el"/>
        </w:rPr>
        <w:t xml:space="preserve">22. </w:t>
      </w:r>
      <w:r>
        <w:rPr>
          <w:b/>
          <w:bCs/>
          <w:lang w:val="el" w:eastAsia="el"/>
        </w:rPr>
        <w:t>Ένωση Εισαγωγέων Μεταχειρισμένων Ανταλλακτικών Αυτοκινήτων Αθηνών, Πειραιώς και</w:t>
      </w:r>
    </w:p>
    <w:p>
      <w:pPr>
        <w:spacing w:before="240" w:after="240"/>
        <w:rPr>
          <w:lang w:val="el" w:eastAsia="el"/>
        </w:rPr>
      </w:pPr>
      <w:r>
        <w:rPr>
          <w:b/>
          <w:bCs/>
          <w:lang w:val="el" w:eastAsia="el"/>
        </w:rPr>
        <w:t>Περιχώρων (Ε.Ε.Μ.Α.Α.)</w:t>
      </w:r>
    </w:p>
    <w:p>
      <w:pPr>
        <w:spacing w:before="240" w:after="240"/>
        <w:rPr>
          <w:lang w:val="el" w:eastAsia="el"/>
        </w:rPr>
      </w:pPr>
      <w:r>
        <w:rPr>
          <w:b/>
          <w:bCs/>
          <w:lang w:val="el" w:eastAsia="el"/>
        </w:rPr>
        <w:t>Κασσάνδρας 15, Τ.Κ.104 47 Αθήνα</w:t>
      </w:r>
    </w:p>
    <w:p>
      <w:pPr>
        <w:spacing w:before="240" w:after="240"/>
        <w:rPr>
          <w:lang w:val="el" w:eastAsia="el"/>
        </w:rPr>
      </w:pPr>
      <w:r>
        <w:rPr>
          <w:b/>
          <w:bCs/>
          <w:lang w:val="el" w:eastAsia="el"/>
        </w:rPr>
        <w:t xml:space="preserve">23. </w:t>
      </w:r>
      <w:r>
        <w:rPr>
          <w:b/>
          <w:bCs/>
          <w:lang w:val="el" w:eastAsia="el"/>
        </w:rPr>
        <w:t>Σύνδεσμος Τουριστικών Επιχειρήσεων Ενοικιάσεως Αυτοκινήτων</w:t>
      </w:r>
    </w:p>
    <w:p>
      <w:pPr>
        <w:spacing w:before="240" w:after="240"/>
        <w:rPr>
          <w:lang w:val="el" w:eastAsia="el"/>
        </w:rPr>
      </w:pPr>
      <w:r>
        <w:rPr>
          <w:b/>
          <w:bCs/>
          <w:lang w:val="el" w:eastAsia="el"/>
        </w:rPr>
        <w:t>Λεωφόρου Λαυρίου 21, Γλυκά Νερά,( e-mail:</w:t>
      </w:r>
      <w:hyperlink r:id="rId5" w:history="1">
        <w:r>
          <w:rPr>
            <w:rStyle w:val="Hyperlink"/>
            <w:b/>
            <w:bCs/>
            <w:color w:val="0000EE"/>
            <w:u w:color="0000EE"/>
            <w:lang w:val="el" w:eastAsia="el"/>
          </w:rPr>
          <w:t>steea@steea. gr</w:t>
        </w:r>
      </w:hyperlink>
      <w:r>
        <w:rPr>
          <w:b/>
          <w:bCs/>
          <w:lang w:val="el" w:eastAsia="el"/>
        </w:rPr>
        <w:t xml:space="preserve"> )</w:t>
      </w:r>
    </w:p>
    <w:p>
      <w:pPr>
        <w:spacing w:before="240" w:after="240"/>
        <w:rPr>
          <w:lang w:val="el" w:eastAsia="el"/>
        </w:rPr>
      </w:pPr>
      <w:r>
        <w:rPr>
          <w:b/>
          <w:bCs/>
          <w:lang w:val="el" w:eastAsia="el"/>
        </w:rPr>
        <w:t xml:space="preserve">24. </w:t>
      </w:r>
      <w:r>
        <w:rPr>
          <w:b/>
          <w:bCs/>
          <w:lang w:val="el" w:eastAsia="el"/>
        </w:rPr>
        <w:t>Ένωση Ελληνικών Εταιριών Χρηματοδοτικής Μίσθωσης Λ. Αθηνών 128 – 132 και Ιφιγένειας</w:t>
      </w:r>
    </w:p>
    <w:p>
      <w:pPr>
        <w:spacing w:before="240" w:after="240"/>
        <w:rPr>
          <w:lang w:val="el" w:eastAsia="el"/>
        </w:rPr>
      </w:pPr>
      <w:r>
        <w:rPr>
          <w:b/>
          <w:bCs/>
          <w:lang w:val="el" w:eastAsia="el"/>
        </w:rPr>
        <w:t>Τ.Κ.104 42 Αθήνα (email:</w:t>
      </w:r>
      <w:hyperlink r:id="rId6" w:history="1">
        <w:r>
          <w:rPr>
            <w:rStyle w:val="Hyperlink"/>
            <w:b/>
            <w:bCs/>
            <w:color w:val="0000EE"/>
            <w:u w:color="0000EE"/>
            <w:lang w:val="el" w:eastAsia="el"/>
          </w:rPr>
          <w:t>a.panoriou@nbgleasing.gr</w:t>
        </w:r>
        <w:r>
          <w:rPr>
            <w:rStyle w:val="Hyperlink"/>
            <w:b/>
            <w:bCs/>
            <w:color w:val="0000EE"/>
            <w:u w:color="0000EE"/>
            <w:lang w:val="el" w:eastAsia="el"/>
          </w:rPr>
          <w:t>)</w:t>
        </w:r>
      </w:hyperlink>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κ.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teea@steea.gr" TargetMode="External" /><Relationship Id="rId6" Type="http://schemas.openxmlformats.org/officeDocument/2006/relationships/hyperlink" Target="mailto:a.panoriou@nbgleasing.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