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43666 ΕΞ 2025</w:t>
      </w:r>
    </w:p>
    <w:p>
      <w:pPr>
        <w:spacing w:before="240" w:after="240"/>
        <w:rPr>
          <w:lang w:val="el" w:eastAsia="el"/>
        </w:rPr>
      </w:pPr>
      <w:r>
        <w:rPr>
          <w:b/>
          <w:bCs/>
          <w:lang w:val="el" w:eastAsia="el"/>
        </w:rPr>
        <w:t>Τροποποίηση της υπό στοιχεία 77697 ΕΞ 2021/29.6.201 κοινής απόφασης των Υπουργών Οικονομικών και Ανάπτυξης και Επενδύσεων «Καθορισμός του περιεχομένου της σύμβασης στην οποία υποχρεούνται να προσχωρήσουν οι χρηματοδοτικοί φορείς προκειμένου να δικαιούνται να καταστούν συμμετέχοντες πιστωτές, στο πλαίσιο της διαδικασίας του εξωδικαστικού μηχανισμού ρύθμισης οφειλών του Κεφ. Α’ του Δεύτερου Μέρους του Πρώτου Βιβλίου (άρθρα 5-30) του ν. 4738/2020» (Β’ 2896).</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 ΑΝΑΠΤΥΞΗΣ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Την υπό στοιχεία 77697 ΕΞ 2021/29.6.2021 κοινή απόφαση των Υπουργών Οικονομικών και Ανάπτυξης και Επενδύσεων «Καθορισμός του περιεχομένου της σύμβασης στην οποία υποχρεούνται να προσχωρήσουν οι χρηματοδοτικοί φορείς προκειμένου να δικαιούνται να καταστούν συμμετέχοντες πιστωτές, στο πλαίσιο της διαδικασίας του εξωδικαστικού μηχανισμού ρύθμισης οφειλών του Κεφ. Α’ του Δεύτερου Μέρους του Πρώτου Βιβλίου (άρθρα 5-30) του ν. 4738/2020» (Β’ 2896).</w:t>
      </w:r>
    </w:p>
    <w:p>
      <w:pPr>
        <w:spacing w:before="240" w:after="240"/>
        <w:rPr>
          <w:lang w:val="el" w:eastAsia="el"/>
        </w:rPr>
      </w:pPr>
      <w:r>
        <w:rPr>
          <w:lang w:val="el" w:eastAsia="el"/>
        </w:rPr>
        <w:t>2. Την υπό στοιχεία 13243 ΕΞ 2024/26.1.2024 κοινή απόφαση των Υπουργών Εθνικής Οικονομίας και Οικονομικών και Ανάπτυξης «Τροποποίηση της υπό στοιχεία 77697 ΕΞ 2021/29.6.2021 κοινής απόφασης των Υπουργών Οικονομικών και Ανάπτυξης και Επενδύσεων με θέμα ”Καθορισμός του περιεχομένου της σύμβασης στην οποία υποχρεούνται να προσχωρήσουν οι χρηματοδοτικοί φορείς προκειμένου να δικαιούνται να καταστούν συμμετέχοντες πιστωτές, στο πλαίσιο της διαδικασίας του εξωδικαστικού μηχανισμού ρύθμισης οφειλών του Κεφ. Α’ του Δεύτερου Μέρους του Πρώτου Βιβλίου (άρθρα 5-30) του ν. 4738/2020” (Β’ 2896)» (Β’ 560).</w:t>
      </w:r>
    </w:p>
    <w:p>
      <w:pPr>
        <w:spacing w:before="240" w:after="240"/>
        <w:rPr>
          <w:lang w:val="el" w:eastAsia="el"/>
        </w:rPr>
      </w:pPr>
      <w:r>
        <w:rPr>
          <w:lang w:val="el" w:eastAsia="el"/>
        </w:rPr>
        <w:t>3. Την υπό στοιχεία 107410 ΕΞ 2024/23.7.2024 κοινή απόφαση των Υπουργών Εθνικής Οικονομίας και Οικονομικών και Ανάπτυξης «Τροποποίηση της υπό στοιχεία 77697 ΕΞ/29.6.2021 κοινής απόφασης των Υπουργών Οικονομικών και Ανάπτυξης και Επενδύσεων με θέμα ”Καθορισμός του περιεχομένου της σύμβασης στην οποία υποχρεούνται να προσχωρήσουν οι χρηματοδοτικοί φορείς προκειμένου να δικαιούνται να καταστούν συμμετέχοντες πιστωτές, στο πλαίσιο της διαδικασίας του εξωδικαστικού μηχανισμού ρύθμισης οφειλών του Κεφ. Α’ του Δεύτερου Μέρους του Πρώτου Βιβλίου (άρθρα 5-30) του ν. 4738/2020“ (Β’ 2896)» (Β’ 4360).</w:t>
      </w:r>
    </w:p>
    <w:p>
      <w:pPr>
        <w:spacing w:before="240" w:after="240"/>
        <w:rPr>
          <w:lang w:val="el" w:eastAsia="el"/>
        </w:rPr>
      </w:pPr>
      <w:r>
        <w:rPr>
          <w:lang w:val="el" w:eastAsia="el"/>
        </w:rPr>
        <w:t>4. Την παρ. 5 του άρθρου 71 του ν. 4738/2020 «Ρύθμιση οφειλών και παροχή δεύτερης ευκαιρίας και άλλες διατάξεις» (Α’ 207).</w:t>
      </w:r>
    </w:p>
    <w:p>
      <w:pPr>
        <w:spacing w:before="240" w:after="240"/>
        <w:rPr>
          <w:lang w:val="el" w:eastAsia="el"/>
        </w:rPr>
      </w:pPr>
      <w:r>
        <w:rPr>
          <w:lang w:val="el" w:eastAsia="el"/>
        </w:rPr>
        <w:t>5. Τη διαδικασία που ορίζεται στο Κεφάλαιο Α’ του Δεύτερου Μέρους του Πρώτου Βιβλίου (άρθρα 5-30) του ν. 4738/2020 «Ρύθμιση οφειλών και παροχή δεύτερης ευκαιρίας και άλλες διατάξεις» (Α’ 207).</w:t>
      </w:r>
    </w:p>
    <w:p>
      <w:pPr>
        <w:spacing w:before="240" w:after="240"/>
        <w:rPr>
          <w:lang w:val="el" w:eastAsia="el"/>
        </w:rPr>
      </w:pPr>
      <w:r>
        <w:rPr>
          <w:lang w:val="el" w:eastAsia="el"/>
        </w:rPr>
        <w:t>6. Το άρθρο 90 του Κώδικα Νομοθεσίας για την Κυβέρνηση και τα κυβερνητικά όργανα (π.δ. 63/2005, Α’ 98).</w:t>
      </w:r>
    </w:p>
    <w:p>
      <w:pPr>
        <w:spacing w:before="240" w:after="240"/>
        <w:rPr>
          <w:lang w:val="el" w:eastAsia="el"/>
        </w:rPr>
      </w:pPr>
      <w:r>
        <w:rPr>
          <w:lang w:val="el" w:eastAsia="el"/>
        </w:rPr>
        <w:t>7. Τον ν. 4622/2019 «Επιτελικό Κράτος: οργάνωση, λειτουργία και διαφάνεια της Κυβέρνησης, των κυβερνητικών οργάνων και της κεντρικής δημόσιας διοίκησης» (Α’ 133) και ιδίως, την περ. 22 του άρθρου 119 αυτού.</w:t>
      </w:r>
    </w:p>
    <w:p>
      <w:pPr>
        <w:spacing w:before="240" w:after="240"/>
        <w:rPr>
          <w:lang w:val="el" w:eastAsia="el"/>
        </w:rPr>
      </w:pPr>
      <w:r>
        <w:rPr>
          <w:lang w:val="el" w:eastAsia="el"/>
        </w:rPr>
        <w:t>8.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 όπως τροποποιήθηκε και συμπληρώθηκε με το π.δ. 82/2023 (Α’ 139) και με το άρθρο 59 του ν. 5102/2024 (Α’ 55).</w:t>
      </w:r>
    </w:p>
    <w:p>
      <w:pPr>
        <w:spacing w:before="240" w:after="240"/>
        <w:rPr>
          <w:lang w:val="el" w:eastAsia="el"/>
        </w:rPr>
      </w:pPr>
      <w:r>
        <w:rPr>
          <w:lang w:val="el" w:eastAsia="el"/>
        </w:rPr>
        <w:t>9. Το π.δ. 82/2023 «Μετονομασία Υπουργείου - Σύσταση και μετονομασία Γενικών Γραμματειών -Μεταφορά αρμοδιοτήτων, υπηρεσιακών μονάδων και θέσεων προσωπικού - Τροποποίηση και συμπλήρωση του π.δ. 77/2003 (Α’ 130) - Μεταβατικές διατάξεις» (Α’ 139).</w:t>
      </w:r>
    </w:p>
    <w:p>
      <w:pPr>
        <w:spacing w:before="240" w:after="240"/>
        <w:rPr>
          <w:lang w:val="el" w:eastAsia="el"/>
        </w:rPr>
      </w:pPr>
      <w:r>
        <w:rPr>
          <w:lang w:val="el" w:eastAsia="el"/>
        </w:rPr>
        <w:t>10. Το π.δ. 79/2023 «Διορισμός Υπουργών, Αναπληρωτών Υπουργών και Υφυπουργών» (Α’ 131) και το π.δ. 32/2024 «Διορισμός Υπουργών και Υφυπουργών» (Α’ 91).</w:t>
      </w:r>
    </w:p>
    <w:p>
      <w:pPr>
        <w:spacing w:before="240" w:after="240"/>
        <w:rPr>
          <w:lang w:val="el" w:eastAsia="el"/>
        </w:rPr>
      </w:pPr>
      <w:r>
        <w:rPr>
          <w:lang w:val="el" w:eastAsia="el"/>
        </w:rPr>
        <w:t>11. Το π.δ. 142/2017 «Οργανισμός Υπουργείου Οικονομικών» (Α’ 181).</w:t>
      </w:r>
    </w:p>
    <w:p>
      <w:pPr>
        <w:spacing w:before="240" w:after="240"/>
        <w:rPr>
          <w:lang w:val="el" w:eastAsia="el"/>
        </w:rPr>
      </w:pPr>
      <w:r>
        <w:rPr>
          <w:lang w:val="el" w:eastAsia="el"/>
        </w:rPr>
        <w:t>12. Το π.δ. 5/2022 «Οργανισμός του Υπουργείου Ανάπτυξης και Επενδύσεων» (Α’ 15).</w:t>
      </w:r>
    </w:p>
    <w:p>
      <w:pPr>
        <w:spacing w:before="240" w:after="240"/>
        <w:rPr>
          <w:lang w:val="el" w:eastAsia="el"/>
        </w:rPr>
      </w:pPr>
      <w:r>
        <w:rPr>
          <w:lang w:val="el" w:eastAsia="el"/>
        </w:rPr>
        <w:t>13. Τον ν. 4270/2014 «Αρχές δημοσιονομικής διαχείρισης και εποπτείας (ενσωμάτωση της Οδηγίας 2011/85/ ΕΕ) - δημόσιο λογιστικό και άλλες διατάξεις» (Α’ 143).</w:t>
      </w:r>
    </w:p>
    <w:p>
      <w:pPr>
        <w:spacing w:before="240" w:after="240"/>
        <w:rPr>
          <w:lang w:val="el" w:eastAsia="el"/>
        </w:rPr>
      </w:pPr>
      <w:r>
        <w:rPr>
          <w:lang w:val="el" w:eastAsia="el"/>
        </w:rPr>
        <w:t>14. Τον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spacing w:before="240" w:after="240"/>
        <w:rPr>
          <w:lang w:val="el" w:eastAsia="el"/>
        </w:rPr>
      </w:pPr>
      <w:r>
        <w:rPr>
          <w:lang w:val="el" w:eastAsia="el"/>
        </w:rPr>
        <w:t>15. Το γεγονός ότι οι διατάξεις της παρούσας δεν αφορούν σε διοικητική διαδικασία για την οποία υπάρχει υποχρέωση καταχώρισης στο Εθνικό Μητρώο Διοικητικών Διαδικασιών «ΜΙΤΟΣ».</w:t>
      </w:r>
    </w:p>
    <w:p>
      <w:pPr>
        <w:spacing w:before="240" w:after="240"/>
        <w:rPr>
          <w:lang w:val="el" w:eastAsia="el"/>
        </w:rPr>
      </w:pPr>
      <w:r>
        <w:rPr>
          <w:lang w:val="el" w:eastAsia="el"/>
        </w:rPr>
        <w:t>16. Το γεγονός ότι από τις διατάξεις της παρούσας απόφασης δεν προκαλείται δαπάνη σε βάρος του κρατικού προϋπολογισμού, αποφασίζουμε:</w:t>
      </w:r>
    </w:p>
    <w:p>
      <w:pPr>
        <w:spacing w:before="240" w:after="240"/>
        <w:rPr>
          <w:lang w:val="el" w:eastAsia="el"/>
        </w:rPr>
      </w:pPr>
      <w:r>
        <w:rPr>
          <w:lang w:val="el" w:eastAsia="el"/>
        </w:rPr>
        <w:t>Την τροποποίηση της υπό στοιχεία 77697 ΕΞ 2021/ 29.6.2021 κοινής απόφασης των Υπουργών Οικονομικών και Ανάπτυξης και Επενδύσεων «Καθορισμός του περιεχομένου της σύμβασης στην οποία υποχρεούνται να προσχωρήσουν οι χρηματοδοτικοί φορείς προκειμένου να δικαιούνται να καταστούν συμμετέχοντες πιστωτές, στο πλαίσιο της διαδικασίας του εξωδικαστικού μηχανισμού ρύθμισης οφειλών του Κεφ. Α’ του Δεύτερου Μέρους του Πρώτου Βιβλίου (άρθρα 5-30) του ν. 4738/2020» (Β’ 2896), όπως έχει τροποποιηθεί και ισχύει και ειδικώς:</w:t>
      </w:r>
    </w:p>
    <w:p>
      <w:pPr>
        <w:spacing w:before="240" w:after="240"/>
        <w:rPr>
          <w:lang w:val="el" w:eastAsia="el"/>
        </w:rPr>
      </w:pPr>
      <w:r>
        <w:rPr>
          <w:lang w:val="el" w:eastAsia="el"/>
        </w:rPr>
        <w:t>1/ Από το άρθρο 1 «Ορισμοί» απαλείφεται το στοιχείο 19) που αφορά τον ορισμό των χρεωστικών τόκων και των συναφών εξόδων. Αντιστοίχως, απαλείφονται «οι χρεωστικοί τόκοι και τα συναφή έξοδα» από το στοιχείο 20) των ορισμών, το οποίο διαμορφώνεται ως εξής: «20) Ως «ετήσιο διαθέσιμο εισόδημα οφειλέτη βάσει φορολογικών στοιχείων» νοείται το διαθέσιμο εισόδημα του οφειλέτη που προκύπτει βάσει φορολογικών στοιχείων (ήτοι, εισόδημα μείον δαπάνες).».</w:t>
      </w:r>
    </w:p>
    <w:p>
      <w:pPr>
        <w:spacing w:before="240" w:after="240"/>
        <w:rPr>
          <w:lang w:val="el" w:eastAsia="el"/>
        </w:rPr>
      </w:pPr>
      <w:r>
        <w:rPr>
          <w:lang w:val="el" w:eastAsia="el"/>
        </w:rPr>
        <w:t>2/ Από την περ. 1) του σημείου 7.1 του άρθρου 7 «Μεθοδολογία υπολογισμού αυτοματοποιημένης λύσης εξωδικαστικού μηχανισμού ρύθμισης οφειλών (Αντιπρόταση Πιστωτών)», απαλείφεται η αναφορά στους χρεωστικούς τόκους και τα συναφή έξοδα. Κατόπιν τούτου, η περ. 1) διαμορφώνεται ως εξής:</w:t>
      </w:r>
    </w:p>
    <w:p>
      <w:pPr>
        <w:spacing w:before="240" w:after="240"/>
        <w:rPr>
          <w:lang w:val="el" w:eastAsia="el"/>
        </w:rPr>
      </w:pPr>
      <w:r>
        <w:rPr>
          <w:lang w:val="el" w:eastAsia="el"/>
        </w:rPr>
        <w:t>«1) Από το ετήσιο «καθαρό εισόδημα» του φυσικού προσώπου, όπως αυτό προκύπτει από το εκκαθαριστικό (πράξη διοικητικού προσδιορισμού φόρου) του, αφαιρούνται:</w:t>
      </w:r>
    </w:p>
    <w:p>
      <w:pPr>
        <w:spacing w:before="240" w:after="240"/>
        <w:rPr>
          <w:lang w:val="el" w:eastAsia="el"/>
        </w:rPr>
      </w:pPr>
      <w:r>
        <w:rPr>
          <w:lang w:val="el" w:eastAsia="el"/>
        </w:rPr>
        <w:t>- Οι «εύλογες δαπάνες διαβίωσης κατηγορίας 1 της ΕΛΣΤΑΤ» που αντιστοιχούν στο φυσικό πρόσωπο βάσει της οικογενειακής του κατάστασης και του εισοδήματος της/του συζύγου του, όπου ως εξαρτώμενα μέλη λογίζονται στο πλαίσιο του παρόντος άρθρου τα «εξαρτώμενα μέλη» της οικογένειας δίχως εισόδημα.</w:t>
      </w:r>
    </w:p>
    <w:p>
      <w:pPr>
        <w:spacing w:before="240" w:after="240"/>
        <w:rPr>
          <w:lang w:val="el" w:eastAsia="el"/>
        </w:rPr>
      </w:pPr>
      <w:r>
        <w:rPr>
          <w:lang w:val="el" w:eastAsia="el"/>
        </w:rPr>
        <w:t>- Οι «οικογενειακές ιατρικές δαπάνες μόνιμου χαρακτήρα», εφόσον υφίστανται.</w:t>
      </w:r>
    </w:p>
    <w:p>
      <w:pPr>
        <w:spacing w:before="240" w:after="240"/>
        <w:rPr>
          <w:lang w:val="el" w:eastAsia="el"/>
        </w:rPr>
      </w:pPr>
      <w:r>
        <w:rPr>
          <w:lang w:val="el" w:eastAsia="el"/>
        </w:rPr>
        <w:t>- Η «οικογενειακή δαπάνη ενοικίου», εφόσον βάσει δήλωσης φορολογίας εισοδήματος (Ε1) η κύρια κατοικία του φυσικού προσώπου δεν είναι ιδιόκτητη.</w:t>
      </w:r>
    </w:p>
    <w:p>
      <w:pPr>
        <w:spacing w:before="240" w:after="240"/>
        <w:rPr>
          <w:lang w:val="el" w:eastAsia="el"/>
        </w:rPr>
      </w:pPr>
      <w:r>
        <w:rPr>
          <w:lang w:val="el" w:eastAsia="el"/>
        </w:rPr>
        <w:t>- Τα «οικογενειακά έξοδα διατροφής λόγω διαζυγίου», εφόσον υφίστανται.</w:t>
      </w:r>
    </w:p>
    <w:p>
      <w:pPr>
        <w:spacing w:before="240" w:after="240"/>
        <w:rPr>
          <w:lang w:val="el" w:eastAsia="el"/>
        </w:rPr>
      </w:pPr>
      <w:r>
        <w:rPr>
          <w:lang w:val="el" w:eastAsia="el"/>
        </w:rPr>
        <w:t>- Ο ενιαίος φόρος ιδιοκτησίας ακινήτων (ΕΝΦΙΑ), εφόσον υφίσταται.».</w:t>
      </w:r>
    </w:p>
    <w:p>
      <w:pPr>
        <w:spacing w:before="240" w:after="240"/>
        <w:rPr>
          <w:lang w:val="el" w:eastAsia="el"/>
        </w:rPr>
      </w:pPr>
      <w:r>
        <w:rPr>
          <w:lang w:val="el" w:eastAsia="el"/>
        </w:rPr>
        <w:t>3/ Από την περ. 3) του σημείου 7.1 του άρθρου 7 «Μεθοδολογία υπολογισμού αυτοματοποιημένης λύσης εξωδικαστικού μηχανισμού ρύθμισης οφειλών (Αντιπρόταση Πιστωτών)», απαλείφεται η αναφορά στους χρεωστικούς τόκους και τα συναφή έξοδα και η περ. 3) διαμορφώνεται ως εξής:</w:t>
      </w:r>
    </w:p>
    <w:p>
      <w:pPr>
        <w:spacing w:before="240" w:after="240"/>
        <w:rPr>
          <w:lang w:val="el" w:eastAsia="el"/>
        </w:rPr>
      </w:pPr>
      <w:r>
        <w:rPr>
          <w:lang w:val="el" w:eastAsia="el"/>
        </w:rPr>
        <w:t>«3) Για τον υπολογισμό του διαθέσιμου ετήσιου εισοδήματος λαμβάνονται υπόψη τα εκκαθαριστικά των τελευταίων τριών (3) ετών, πριν την υποβολή της αίτησης υπαγωγής στον εξωδικαστικό μηχανισμό ρύθμισης. Εξαιρείται το έτος με το χαμηλότερο καθαρό ατομικό εισόδημα και λαμβάνεται υπόψη ο μέσος όρος των δύο άλλων ετών. Για τον υπολογισμό των εύλογων δαπανών διαβίωσης, των ιατρικών δαπανών μόνιμου χαρακτήρα, της δαπάνης ενοικίου, των εξόδων διατροφής λόγω διαζυγίου και του ενιαίου φόρου ιδιοκτησίας ακινήτων (ΕΝΦΙΑ), λαμβάνονται υπόψη τα στοιχεία του τελευταίου έτους.».</w:t>
      </w:r>
    </w:p>
    <w:p>
      <w:pPr>
        <w:spacing w:before="240" w:after="240"/>
        <w:rPr>
          <w:lang w:val="el" w:eastAsia="el"/>
        </w:rPr>
      </w:pPr>
      <w:r>
        <w:rPr>
          <w:lang w:val="el" w:eastAsia="el"/>
        </w:rPr>
        <w:t>4/ Η περ. 4) του σημείου 7.1 του άρθρου 7 «Μεθοδολογία υπολογισμού αυτοματοποιημένης λύσης εξωδικαστικού μηχανισμού ρύθμισης οφειλών (Αντιπρόταση Πιστωτών)», τροποποιείται και διαμορφώνεται ως εξής:</w:t>
      </w:r>
    </w:p>
    <w:p>
      <w:pPr>
        <w:spacing w:before="240" w:after="240"/>
        <w:rPr>
          <w:lang w:val="el" w:eastAsia="el"/>
        </w:rPr>
      </w:pPr>
      <w:r>
        <w:rPr>
          <w:lang w:val="el" w:eastAsia="el"/>
        </w:rPr>
        <w:t>«4) Σε περίπτωση που το φυσικό πρόσωπο ασκεί επιχειρηματική δραστηριότητα και το ανωτέρω ποσό είναι μικρότερο του «εύλογου ποσοστού κέρδους επί του κύκλου εργασιών», τότε το διαθέσιμο ετήσιο εισόδημα αναπροσαρμόζεται στο εν λόγω ποσό και εφαρμόζεται ο μέγιστος αριθμός δόσεων ανά κατηγορία οφειλής εκάστου πιστωτή.».</w:t>
      </w:r>
    </w:p>
    <w:p>
      <w:pPr>
        <w:spacing w:before="240" w:after="240"/>
        <w:rPr>
          <w:lang w:val="el" w:eastAsia="el"/>
        </w:rPr>
      </w:pPr>
      <w:r>
        <w:rPr>
          <w:lang w:val="el" w:eastAsia="el"/>
        </w:rPr>
        <w:t>5/ Από την περ. 1) του σημείου 7.2 του άρθρου 7 «Μεθοδολογία υπολογισμού αυτοματοποιημένης λύσης εξωδικαστικού μηχανισμού ρύθμισης οφειλών (Αντιπρόταση Πιστωτών)», απαλείφεται η αναφορά στους χρεωστικούς τόκους και τα συναφή έξοδα και η περ. 1) διαμορφώνεται ως εξής:</w:t>
      </w:r>
    </w:p>
    <w:p>
      <w:pPr>
        <w:spacing w:before="240" w:after="240"/>
        <w:rPr>
          <w:lang w:val="el" w:eastAsia="el"/>
        </w:rPr>
      </w:pPr>
      <w:r>
        <w:rPr>
          <w:lang w:val="el" w:eastAsia="el"/>
        </w:rPr>
        <w:t>«1) Από τα «κέρδη/ζημιές» του νομικού προσώπου, όπως αυτά προκύπτουν από το έντυπο Ν, αφαιρείται ο ενιαίος φόρος ιδιοκτησίας ακινήτων (ΕΝΦΙΑ), εφόσον υφίσταται.».</w:t>
      </w:r>
    </w:p>
    <w:p>
      <w:pPr>
        <w:spacing w:before="240" w:after="240"/>
        <w:rPr>
          <w:lang w:val="el" w:eastAsia="el"/>
        </w:rPr>
      </w:pPr>
      <w:r>
        <w:rPr>
          <w:lang w:val="el" w:eastAsia="el"/>
        </w:rPr>
        <w:t>6/ Από την περ. 3) του σημείου 7.2 του άρθρου 7 «Μεθοδολογία υπολογισμού αυτοματοποιημένης λύσης εξωδικαστικού μηχανισμού ρύθμισης οφειλών (Αντιπρόταση Πιστωτών)», απαλείφεται η αναφορά στους χρεωστικούς τόκους και τα συναφή έξοδα και η περ. 3) διαμορφώνεται ως εξής:</w:t>
      </w:r>
    </w:p>
    <w:p>
      <w:pPr>
        <w:spacing w:before="240" w:after="240"/>
        <w:rPr>
          <w:lang w:val="el" w:eastAsia="el"/>
        </w:rPr>
      </w:pPr>
      <w:r>
        <w:rPr>
          <w:lang w:val="el" w:eastAsia="el"/>
        </w:rPr>
        <w:t>«3) Για τον υπολογισμό του διαθέσιμου ετήσιου εισοδήματος εξετάζονται τα έντυπα Ν και Ε3 των τελευταίων τριών (3) ετών. Εξαιρείται το έτος με τα χαμηλότερα φορολογητέα «κέρδη/ζημιές», και λαμβάνεται υπόψη ο μέσος όρος των δύο άλλων ετών. Όσον αφορά στον ενιαίο φόρο ιδιοκτησίας ακινήτων (ΕΝΦΙΑ), λαμβάνονται υπόψη τα στοιχεία του τελευταίου έτους.».</w:t>
      </w:r>
    </w:p>
    <w:p>
      <w:pPr>
        <w:spacing w:before="240" w:after="240"/>
        <w:rPr>
          <w:lang w:val="el" w:eastAsia="el"/>
        </w:rPr>
      </w:pPr>
      <w:r>
        <w:rPr>
          <w:lang w:val="el" w:eastAsia="el"/>
        </w:rPr>
        <w:t>7/ Η περ. δ) του σημείου 7.2 του άρθρου 7 «Μεθοδολογία υπολογισμού αυτοματοποιημένης λύσης εξωδικαστικού μηχανισμού ρύθμισης οφειλών (Αντιπρόταση Πιστωτών)», τροποποιείται και διαμορφώνεται ως εξής:</w:t>
      </w:r>
    </w:p>
    <w:p>
      <w:pPr>
        <w:spacing w:before="240" w:after="240"/>
        <w:rPr>
          <w:lang w:val="el" w:eastAsia="el"/>
        </w:rPr>
      </w:pPr>
      <w:r>
        <w:rPr>
          <w:lang w:val="el" w:eastAsia="el"/>
        </w:rPr>
        <w:t xml:space="preserve">«δ) Σε περίπτωση που το ανωτέρω ποσό είναι μικρότερο του «εύλογου ποσοστού κέρδους» επί του κύκλου εργασιών του Νομικού Προσώπου μικρής κατηγορίας με Κύκλο Εργασιών μικρότερο των € 2,5 </w:t>
      </w:r>
    </w:p>
    <w:p>
      <w:pPr>
        <w:spacing w:before="240" w:after="240"/>
        <w:rPr>
          <w:lang w:val="el" w:eastAsia="el"/>
        </w:rPr>
      </w:pPr>
      <w:r>
        <w:rPr>
          <w:lang w:val="el" w:eastAsia="el"/>
        </w:rPr>
        <w:t>εκατομμυρίων σε κάθε έτος της τελευταίας τριετίας, όπως προκύπτειαπό το έντυπο Ε3 (Κατάσταση Οικονομικών Στοιχείων από Επιχειρηματική Δραστηριότητα) βάσει του πεδίου «Πωλήσεις αγαθών και παροχή υπηρεσιών» (βλ. κωδικός «500»), τότε το διαθέσιμο ετήσιο εισόδημα αναπροσαρμόζεται στο εν λόγω ποσό και εφαρμόζεται ο μέγιστος αριθμός δόσεων ανά κατηγορία οφειλής εκάστου πιστωτή».</w:t>
      </w:r>
    </w:p>
    <w:p>
      <w:pPr>
        <w:spacing w:before="240" w:after="240"/>
        <w:rPr>
          <w:lang w:val="el" w:eastAsia="el"/>
        </w:rPr>
      </w:pPr>
      <w:r>
        <w:rPr>
          <w:lang w:val="el" w:eastAsia="el"/>
        </w:rPr>
        <w:t>8/ Από το συνοδευτικό Παράρτημα της απόφασης και τον κατάλογο παραμέτρων μεθοδολογίας υπολογισμού αυτοματοποιημένης λύσης εξωδικαστικού μηχανισμού ρύθμισης οφειλών απαλείφεται το σημείο στ) «χρεωστικοί τόκοι και τα συναφή έξοδα» ως αναφέρεται, και οι παράμετροι μεθοδολογίας αναριθμούνται.</w:t>
      </w:r>
    </w:p>
    <w:p>
      <w:pPr>
        <w:spacing w:before="240" w:after="240"/>
        <w:rPr>
          <w:lang w:val="el" w:eastAsia="el"/>
        </w:rPr>
      </w:pPr>
      <w:r>
        <w:rPr>
          <w:lang w:val="el" w:eastAsia="el"/>
        </w:rPr>
        <w:t>Κατά τα λοιπά ισχύει η υπό στοιχεία 77697 ΕΞ 2021/ 29.6.2021 (Β’ 2896) κοινή υπουργική απόφαση.</w:t>
      </w:r>
    </w:p>
    <w:p>
      <w:pPr>
        <w:spacing w:before="240" w:after="240"/>
        <w:rPr>
          <w:lang w:val="el" w:eastAsia="el"/>
        </w:rPr>
      </w:pPr>
      <w:r>
        <w:rPr>
          <w:lang w:val="el" w:eastAsia="el"/>
        </w:rPr>
        <w:t>Η ισχύς της παρούσας άρχεται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Άγιος Ιωάννης Ρέντης, 13 Μαρτίου 2025</w:t>
      </w:r>
    </w:p>
    <w:p>
      <w:pPr>
        <w:spacing w:before="240" w:after="240"/>
        <w:rPr>
          <w:lang w:val="el" w:eastAsia="el"/>
        </w:rPr>
      </w:pPr>
      <w:r>
        <w:rPr>
          <w:lang w:val="el" w:eastAsia="el"/>
        </w:rPr>
        <w:t>Οι Υπουργοί</w:t>
      </w:r>
    </w:p>
    <w:p>
      <w:pPr>
        <w:spacing w:before="240" w:after="240"/>
        <w:rPr>
          <w:lang w:val="el" w:eastAsia="el"/>
        </w:rPr>
      </w:pPr>
      <w:r>
        <w:rPr>
          <w:lang w:val="el" w:eastAsia="el"/>
        </w:rPr>
        <w:t>Εθνικής Οικονομίας και Οικονομικών</w:t>
      </w:r>
    </w:p>
    <w:p>
      <w:pPr>
        <w:spacing w:before="240" w:after="240"/>
        <w:rPr>
          <w:lang w:val="el" w:eastAsia="el"/>
        </w:rPr>
      </w:pPr>
      <w:r>
        <w:rPr>
          <w:b/>
          <w:bCs/>
          <w:lang w:val="el" w:eastAsia="el"/>
        </w:rPr>
        <w:t>ΚΩΝΣΤΑΝΤΙΝΟΣ</w:t>
      </w:r>
    </w:p>
    <w:p>
      <w:pPr>
        <w:spacing w:before="240" w:after="240"/>
        <w:rPr>
          <w:lang w:val="el" w:eastAsia="el"/>
        </w:rPr>
      </w:pPr>
      <w:r>
        <w:rPr>
          <w:lang w:val="el" w:eastAsia="el"/>
        </w:rPr>
        <w:t>Ανάπτυξης</w:t>
      </w:r>
    </w:p>
    <w:p>
      <w:pPr>
        <w:spacing w:before="240" w:after="240"/>
        <w:rPr>
          <w:lang w:val="el" w:eastAsia="el"/>
        </w:rPr>
      </w:pPr>
      <w:r>
        <w:rPr>
          <w:lang w:val="el" w:eastAsia="el"/>
        </w:rPr>
        <w:t>ΠΑΝΑΓΙΩΤΗΣ ΘΕΟΔΩΡΙΚΑΚΟΣ</w:t>
      </w:r>
    </w:p>
    <w:p>
      <w:pPr>
        <w:spacing w:before="240" w:after="240"/>
        <w:rPr>
          <w:lang w:val="el" w:eastAsia="el"/>
        </w:rPr>
      </w:pPr>
      <w:r>
        <w:rPr>
          <w:b/>
          <w:bCs/>
          <w:lang w:val="el" w:eastAsia="el"/>
        </w:rPr>
        <w:t>ΧΑΤΖΗΔΑΚΗΣ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