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 ΓΕΝΙΚΗ ΔΙΕΥΘΥΝΣΗ ΟΙΚΟΝΟΜΙΚΩΝ ΚΑΙ ΤΕΧΝΙΚΩΝ ΥΠΗΡΕΣΙΩΝ (ΓΔΟΤΥ) ΔΙΕΥΘΥΝΣΗ ΔΙΑΧΕΙΡΙΣΗΣ ΚΑΙ ΕΚΜΕΤΑΛΛΕΥΣΗΣ ΠΕΡΙΟΥΣΙΑΣ (ΔΙΔΕΠ) ΤΜΗΜΑ Ε΄- Συντονισμού &amp; Υποστήριξης Πειραιώς 180 177 78 Ταύρος</w:t>
      </w:r>
    </w:p>
    <w:p>
      <w:pPr>
        <w:pStyle w:val="PreambelText"/>
        <w:spacing w:before="240" w:after="240"/>
        <w:rPr>
          <w:lang w:val="el" w:eastAsia="el"/>
        </w:rPr>
      </w:pPr>
      <w:r>
        <w:rPr>
          <w:b/>
          <w:bCs/>
          <w:lang w:val="el" w:eastAsia="el"/>
        </w:rPr>
        <w:t>2131409547, 2131409606, 2131409530</w:t>
      </w:r>
    </w:p>
    <w:p>
      <w:pPr>
        <w:pStyle w:val="PreambelText"/>
        <w:spacing w:before="240" w:after="240"/>
        <w:rPr>
          <w:lang w:val="el" w:eastAsia="el"/>
        </w:rPr>
      </w:pPr>
      <w:hyperlink r:id="rId4" w:history="1">
        <w:r>
          <w:rPr>
            <w:rStyle w:val="Hyperlink"/>
            <w:b/>
            <w:bCs/>
            <w:color w:val="0000EE"/>
            <w:u w:color="0000EE"/>
            <w:lang w:val="el" w:eastAsia="el"/>
          </w:rPr>
          <w:t>didep@ 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υπό στοιχεία Α. 1147/2024 απόφασης Διοικητή της Ανεξάρτητης Αρχής Δημοσίων Εσόδων «Καθορισμός διαδικασίας καταστροφής αχρησιμοποίητων αποθεμάτων εντύπων παραβόλων του πρώτου εδαφίου της παρ. 3 του άρθρου 29 του ν. 3943/2011 (Α΄66) τα οποία αντικαταστάθηκαν με ηλεκτρονικό παράβολο» (Β΄5576).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παρ. 3 και 4 του άρθρου 29 του ν. 3943/2011 «Καταπολέμηση της φοροδιαφυγής, στελέχωση των ελεγκτικών υπηρεσιών και άλλες διατάξεις αρμοδιότητας Υπουργείου Οικονομικών» (Α΄ 66).</w:t>
      </w:r>
    </w:p>
    <w:p>
      <w:pPr>
        <w:pStyle w:val="PreambelText"/>
        <w:spacing w:before="240" w:after="240"/>
        <w:rPr>
          <w:lang w:val="el" w:eastAsia="el"/>
        </w:rPr>
      </w:pPr>
      <w:r>
        <w:rPr>
          <w:lang w:val="el" w:eastAsia="el"/>
        </w:rPr>
        <w:t xml:space="preserve">2. </w:t>
      </w:r>
      <w:r>
        <w:rPr>
          <w:b/>
          <w:bCs/>
          <w:lang w:val="el" w:eastAsia="el"/>
        </w:rPr>
        <w:t>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 xml:space="preserve">3. </w:t>
      </w:r>
      <w:r>
        <w:rPr>
          <w:b/>
          <w:bCs/>
          <w:lang w:val="el" w:eastAsia="el"/>
        </w:rPr>
        <w:t>Την υπό στοιχεία Α. 1047/2020 «Όροι και διαδικασία είσπραξης – επιστροφής για την εφαρμογή του ηλεκτρονικού παραβόλου» (Β΄979) κοινή απόφαση του Υφυπουργού Οικονομικών και του Υπουργού Επικρατείας.</w:t>
      </w:r>
    </w:p>
    <w:p>
      <w:pPr>
        <w:pStyle w:val="PreambelText"/>
        <w:spacing w:before="240" w:after="240"/>
        <w:rPr>
          <w:lang w:val="el" w:eastAsia="el"/>
        </w:rPr>
      </w:pPr>
      <w:r>
        <w:rPr>
          <w:lang w:val="el" w:eastAsia="el"/>
        </w:rPr>
        <w:t xml:space="preserve">4.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pStyle w:val="PreambelText"/>
        <w:spacing w:before="240" w:after="240"/>
        <w:rPr>
          <w:lang w:val="el" w:eastAsia="el"/>
        </w:rPr>
      </w:pPr>
      <w:r>
        <w:rPr>
          <w:lang w:val="el" w:eastAsia="el"/>
        </w:rPr>
        <w:t xml:space="preserve">5. </w:t>
      </w:r>
      <w:r>
        <w:rPr>
          <w:b/>
          <w:bCs/>
          <w:lang w:val="el" w:eastAsia="el"/>
        </w:rPr>
        <w:t>Το π.δ. 40/2020 «Οργανισμός Υπουργείου Ψηφιακής Διακυβέρνησης» (Α΄85) και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PreambelText"/>
        <w:spacing w:before="240" w:after="240"/>
        <w:rPr>
          <w:lang w:val="el" w:eastAsia="el"/>
        </w:rPr>
      </w:pPr>
      <w:r>
        <w:rPr>
          <w:lang w:val="el" w:eastAsia="el"/>
        </w:rPr>
        <w:t xml:space="preserve">6. </w:t>
      </w:r>
      <w:r>
        <w:rPr>
          <w:b/>
          <w:bCs/>
          <w:lang w:val="el" w:eastAsia="el"/>
        </w:rPr>
        <w:t>Το π.δ. 162/1979 «Περί εκκαθαρίσεως των αρχείων των Δημοσίων Υπηρεσιών» (Α' 42).</w:t>
      </w:r>
    </w:p>
    <w:p>
      <w:pPr>
        <w:pStyle w:val="PreambelText"/>
        <w:spacing w:before="240" w:after="240"/>
        <w:rPr>
          <w:lang w:val="el" w:eastAsia="el"/>
        </w:rPr>
      </w:pPr>
      <w:r>
        <w:rPr>
          <w:lang w:val="el" w:eastAsia="el"/>
        </w:rPr>
        <w:t xml:space="preserve">7. </w:t>
      </w:r>
      <w:r>
        <w:rPr>
          <w:b/>
          <w:bCs/>
          <w:lang w:val="el" w:eastAsia="el"/>
        </w:rPr>
        <w:t>To π.δ. 87/1981 «Περί εκκαθαρίσεως των αρχείων των δημοσίων υπηρεσιών και Ν.Π.Δ.Δ.» (Α΄ 87).</w:t>
      </w:r>
    </w:p>
    <w:p>
      <w:pPr>
        <w:pStyle w:val="PreambelText"/>
        <w:spacing w:before="240" w:after="240"/>
        <w:rPr>
          <w:lang w:val="el" w:eastAsia="el"/>
        </w:rPr>
      </w:pPr>
      <w:r>
        <w:rPr>
          <w:lang w:val="el" w:eastAsia="el"/>
        </w:rPr>
        <w:t xml:space="preserve">8. </w:t>
      </w:r>
      <w:r>
        <w:rPr>
          <w:b/>
          <w:bCs/>
          <w:lang w:val="el" w:eastAsia="el"/>
        </w:rPr>
        <w:t>Το π.δ. 276/2000 «Εκκαθάριση αρχείων των υπηρεσιών του Υπουργείου Οικονομικών» (Α’ 276).</w:t>
      </w:r>
    </w:p>
    <w:p>
      <w:pPr>
        <w:pStyle w:val="PreambelText"/>
        <w:spacing w:before="240" w:after="240"/>
        <w:rPr>
          <w:lang w:val="el" w:eastAsia="el"/>
        </w:rPr>
      </w:pPr>
      <w:r>
        <w:rPr>
          <w:lang w:val="el" w:eastAsia="el"/>
        </w:rPr>
        <w:t xml:space="preserve">9. </w:t>
      </w:r>
      <w:r>
        <w:rPr>
          <w:b/>
          <w:bCs/>
          <w:lang w:val="el" w:eastAsia="el"/>
        </w:rPr>
        <w:t>Την υπό στοιχεία Δ.ΟΡΓ. Γ 1049791 ΕΞ 2024/25-04-2024 απόφαση του Διοικητή της Ανεξάρτητης Αρχής Δημοσίων Εσόδων «Χρόνος διατήρησης των εγγράφων των Υπηρεσιών της Ανεξάρτητης Αρχής Δημοσίων Εσόδων (ΑΑΔΕ) και διαδικασία εκκαθάρισης του ανενεργού αρχείου αυτών» (B΄2519).</w:t>
      </w:r>
    </w:p>
    <w:p>
      <w:pPr>
        <w:pStyle w:val="PreambelText"/>
        <w:spacing w:before="240" w:after="240"/>
        <w:rPr>
          <w:lang w:val="el" w:eastAsia="el"/>
        </w:rPr>
      </w:pPr>
      <w:r>
        <w:rPr>
          <w:lang w:val="el" w:eastAsia="el"/>
        </w:rPr>
        <w:t xml:space="preserve">10. </w:t>
      </w:r>
      <w:r>
        <w:rPr>
          <w:b/>
          <w:bCs/>
          <w:lang w:val="el" w:eastAsia="el"/>
        </w:rPr>
        <w:t>Την υπό στοιχεία ΔΤΔ/Β1142884ΕΞ2016/28.9.2016 απόφαση του Γενικού Γραμματέα Δημοσίων Εσόδων του Υπουργείου Οικονομικών «Καθορισμός όρων πώλησης υλικών, πλωτών και εναέριων μέσων από τις αρμόδιες υπηρεσίες Διαχείρισης Δημόσιου Υλικού» (Β΄ 3420).</w:t>
      </w:r>
    </w:p>
    <w:p>
      <w:pPr>
        <w:pStyle w:val="PreambelText"/>
        <w:spacing w:before="240" w:after="240"/>
        <w:rPr>
          <w:lang w:val="el" w:eastAsia="el"/>
        </w:rPr>
      </w:pPr>
      <w:r>
        <w:rPr>
          <w:lang w:val="el" w:eastAsia="el"/>
        </w:rPr>
        <w:t xml:space="preserve">11. </w:t>
      </w:r>
      <w:r>
        <w:rPr>
          <w:b/>
          <w:bCs/>
          <w:lang w:val="el" w:eastAsia="el"/>
        </w:rPr>
        <w:t>Την υπό στοιχεία Δ.Δ.Δ.Υ. Γ 1021535 ΕΞ 2024/20.02.2024 δημοπρατηθείσα ετήσια σύμβαση πώλησης αρχειακού υλικού, η οποία έχει παραταθεί, κατ’ εφαρμογή των ειδικών όρων της υπ’ αρ. 4030/20.2.2024 διακήρυξης, με το υπό στοιχεία ΔΙ.Δ.Ε.Π. Δ 1019511/ 17.02.2025 έγγραφο της ΔΙ.Δ.Ε.Π..</w:t>
      </w:r>
    </w:p>
    <w:p>
      <w:pPr>
        <w:pStyle w:val="PreambelText"/>
        <w:spacing w:before="240" w:after="240"/>
        <w:rPr>
          <w:lang w:val="el" w:eastAsia="el"/>
        </w:rPr>
      </w:pPr>
      <w:r>
        <w:rPr>
          <w:lang w:val="el" w:eastAsia="el"/>
        </w:rPr>
        <w:t xml:space="preserve">12. </w:t>
      </w:r>
      <w:r>
        <w:rPr>
          <w:b/>
          <w:bCs/>
          <w:lang w:val="el" w:eastAsia="el"/>
        </w:rPr>
        <w:t>Tον ν. 4610/2019 «Συνέργειες Πανεπιστημίων και Τ.Ε.Ι., πρόσβαση στην τριτοβάθμια εκπαίδευση, πειραματικά σχολεία, Γενικά Αρχεία του Κράτους και λοιπές διατάξεις» (Α΄70) και ιδίως τα άρθρα 160 και επόμενα.</w:t>
      </w:r>
    </w:p>
    <w:p>
      <w:pPr>
        <w:pStyle w:val="PreambelText"/>
        <w:spacing w:before="240" w:after="240"/>
        <w:rPr>
          <w:lang w:val="el" w:eastAsia="el"/>
        </w:rPr>
      </w:pPr>
      <w:r>
        <w:rPr>
          <w:lang w:val="el" w:eastAsia="el"/>
        </w:rPr>
        <w:t xml:space="preserve">13.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14. </w:t>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7, την παράγραφο 1 του άρθρου 14 και το άρθρο 41 αυτού.</w:t>
      </w:r>
    </w:p>
    <w:p>
      <w:pPr>
        <w:pStyle w:val="PreambelText"/>
        <w:spacing w:before="240" w:after="240"/>
        <w:rPr>
          <w:lang w:val="el" w:eastAsia="el"/>
        </w:rPr>
      </w:pPr>
      <w:r>
        <w:rPr>
          <w:lang w:val="el" w:eastAsia="el"/>
        </w:rPr>
        <w:t xml:space="preserve">15.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την υπ΄αρ. 5294 ΕΞ2020/17-01-2020 απόφαση του Υπουργού Οικονομικών «Ανανέωση της θητείας του Διοικητή της Ανεξάρτητης Αρχής Δημοσίων Εσόδων» (Υ.Ο.Δ.Δ. 27) καθώς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16. </w:t>
      </w:r>
      <w:r>
        <w:rPr>
          <w:b/>
          <w:bCs/>
          <w:lang w:val="el" w:eastAsia="el"/>
        </w:rPr>
        <w:t>Την υπό στοιχεία Α. 1147/2024 «Καθορισμός διαδικασίας καταστροφής αχρησιμοποίητων αποθεμάτων εντύπων παραβόλων του πρώτου εδαφίου της παρ. 3 του άρθρου 29 του ν. 3943/2011 (Α΄66) τα οποία αντικαταστάθηκαν με ηλεκτρονικό παράβολο» απόφαση Διοικητή ΑΑΔΕ (Β΄5576).</w:t>
      </w:r>
    </w:p>
    <w:p>
      <w:pPr>
        <w:pStyle w:val="PreambelText"/>
        <w:spacing w:before="240" w:after="240"/>
        <w:rPr>
          <w:lang w:val="el" w:eastAsia="el"/>
        </w:rPr>
      </w:pPr>
      <w:r>
        <w:rPr>
          <w:lang w:val="el" w:eastAsia="el"/>
        </w:rPr>
        <w:t xml:space="preserve">17. </w:t>
      </w:r>
      <w:r>
        <w:rPr>
          <w:b/>
          <w:bCs/>
          <w:lang w:val="el" w:eastAsia="el"/>
        </w:rPr>
        <w:t>Την ανάγκη τροποποίησης της υπό στοιχεία Α. 1147/2024 Απόφασης Διοικητή ΑΑΔΕ λόγω της από 01/12/2024 κατάργησης, σύμφωνα με το άρθρο 33 του ν. 5135/2024 «Ψηφιακό τέλος συναλλαγής και άλλες διατάξεις» (Α΄ 147), του τέλους χαρτοσήμου που επιβλήθηκε με το π.δ. της 28ης Ιουλίου 1931 (Α΄239), καθώς και της συνεισπραττόμενης με αυτό υπέρ του Ο.Γ.Α. ειδικής κοινωνικής εισφοράς του αρ. 11 του ν.4169/1961 (Α΄ 81).</w:t>
      </w:r>
    </w:p>
    <w:p>
      <w:pPr>
        <w:pStyle w:val="PreambelText"/>
        <w:spacing w:before="240" w:after="240"/>
        <w:rPr>
          <w:lang w:val="el" w:eastAsia="el"/>
        </w:rPr>
      </w:pPr>
      <w:r>
        <w:rPr>
          <w:lang w:val="el" w:eastAsia="el"/>
        </w:rPr>
        <w:t xml:space="preserve">18. </w:t>
      </w:r>
      <w:r>
        <w:rPr>
          <w:b/>
          <w:bCs/>
          <w:lang w:val="el" w:eastAsia="el"/>
        </w:rPr>
        <w:t>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 xml:space="preserve">19.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 ΜΙΤΟΣ.</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Η υπό στοιχεία Α. 1147/2024 (Β’ 5576) απόφαση Διοικητή ΑΑΔΕ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δεύτερο εδάφιο της παρ. 5, στο τρίτο εδάφιο της παρ. 6 και στο πρώτο εδάφιο της παρ. 7 του άρθρου 3 οι λέξεις «Διεύθυνση Διαχείρισης Δημόσιου Υλικού της Γενικής Διεύθυνσης Τελωνείων και Ειδικών Φόρων Κατανάλωσης» αντικαθίστανται από τις λέξεις «Διεύθυνση Διαχείρισης και Εκμετάλλευσης Περιουσίας της Γενικής Διεύθυνσης Οικονομικών και Τεχνικών Υπηρεσιών».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 α) της παρ. 8 του άρθρου 3 διαγράφονται οι λέξεις «Χαρτοσήμου και» και η παρ. 8 διαμορφώνεται ως εξής:</w:t>
      </w:r>
    </w:p>
    <w:p>
      <w:pPr>
        <w:spacing w:before="240" w:after="240"/>
        <w:rPr>
          <w:lang w:val="el" w:eastAsia="el"/>
        </w:rPr>
      </w:pPr>
      <w:r>
        <w:rPr>
          <w:b/>
          <w:bCs/>
          <w:lang w:val="el" w:eastAsia="el"/>
        </w:rPr>
        <w:t>«8. Για λόγους επιχειρησιακών αναγκών:</w:t>
      </w:r>
    </w:p>
    <w:p>
      <w:pPr>
        <w:spacing w:before="240" w:after="240"/>
        <w:rPr>
          <w:lang w:val="el" w:eastAsia="el"/>
        </w:rPr>
      </w:pPr>
      <w:r>
        <w:rPr>
          <w:b/>
          <w:bCs/>
          <w:lang w:val="el" w:eastAsia="el"/>
        </w:rPr>
        <w:t>α) Από την ανωτέρω διαδικασία καταμέτρησης και καταστροφής εξαιρούνται τα παράβολα Δημοσίου.</w:t>
      </w:r>
    </w:p>
    <w:p>
      <w:pPr>
        <w:spacing w:before="240" w:after="240"/>
        <w:rPr>
          <w:lang w:val="el" w:eastAsia="el"/>
        </w:rPr>
      </w:pPr>
      <w:r>
        <w:rPr>
          <w:b/>
          <w:bCs/>
          <w:lang w:val="el" w:eastAsia="el"/>
        </w:rPr>
        <w:t>β) Μέρος του αποθέματος των παραβόλων που φυλάσσονται στις εγκαταστάσεις της ΓΓΠΣΨΔ του ΥΨΗΔ δεν θα διατεθεί προς καταστροφή.»</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Διεύθυνση Λειτουργίας Οριζόντιων Συστημάτων, Εκτυπώσεων, Λειτουργικής Υποστήριξης και Υποστήριξης Χρηστών της Γενικής Γραμματείας Πληροφοριακών Συστημάτων και Ψηφιακής Διακυβέρνησης (Γ.Γ.Π.Σ.Ψ.Δ.) του Υπουργείου Ψηφιακής Διακυβέρνησης (email:</w:t>
      </w:r>
      <w:hyperlink r:id="rId6" w:history="1">
        <w:r>
          <w:rPr>
            <w:rStyle w:val="Hyperlink"/>
            <w:b/>
            <w:bCs/>
            <w:color w:val="0000EE"/>
            <w:u w:color="0000EE"/>
            <w:lang w:val="el" w:eastAsia="el"/>
          </w:rPr>
          <w:t xml:space="preserve">dlosely@gsis.gr </w:t>
        </w:r>
      </w:hyperlink>
      <w:r>
        <w:rPr>
          <w:b/>
          <w:bCs/>
          <w:lang w:val="el" w:eastAsia="el"/>
        </w:rPr>
        <w:t>)</w:t>
      </w:r>
    </w:p>
    <w:p>
      <w:pPr>
        <w:spacing w:before="240" w:after="240"/>
        <w:rPr>
          <w:lang w:val="el" w:eastAsia="el"/>
        </w:rPr>
      </w:pPr>
      <w:r>
        <w:rPr>
          <w:lang w:val="el" w:eastAsia="el"/>
        </w:rPr>
        <w:t xml:space="preserve">4) </w:t>
      </w:r>
      <w:r>
        <w:rPr>
          <w:b/>
          <w:bCs/>
          <w:lang w:val="el" w:eastAsia="el"/>
        </w:rPr>
        <w:t>Διεύθυνση Διαχείρισης και Εκμετάλλευσης Περιουσίας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p@aade.gr" TargetMode="External" /><Relationship Id="rId5" Type="http://schemas.openxmlformats.org/officeDocument/2006/relationships/hyperlink" Target="http://www.aade.gr/" TargetMode="External" /><Relationship Id="rId6" Type="http://schemas.openxmlformats.org/officeDocument/2006/relationships/hyperlink" Target="mailto:dlosely@gsi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