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ΕΛΕΓΚΤΙΚΩΝ ΔΙΑΔΙΚΑΣΙΩΝ – ΤΜΗΜΑ Α’</w:t>
      </w:r>
    </w:p>
    <w:p>
      <w:pPr>
        <w:spacing w:before="240" w:after="240"/>
        <w:rPr>
          <w:lang w:val="el" w:eastAsia="el"/>
        </w:rPr>
      </w:pPr>
      <w:r>
        <w:rPr>
          <w:b/>
          <w:bCs/>
          <w:lang w:val="el" w:eastAsia="el"/>
        </w:rPr>
        <w:t>ΙI. ΓΕΝΙΚΗ ΔΙΕΥΘΥΝΣΗ ΗΛΕΚΤΡΟΝΙΚΗΣ ΔΙΑΚΥΒΕΡΝΗΣΗΣ</w:t>
      </w:r>
    </w:p>
    <w:p>
      <w:pPr>
        <w:spacing w:before="240" w:after="240"/>
        <w:rPr>
          <w:lang w:val="el" w:eastAsia="el"/>
        </w:rPr>
      </w:pPr>
      <w:r>
        <w:rPr>
          <w:b/>
          <w:bCs/>
          <w:lang w:val="el" w:eastAsia="el"/>
        </w:rPr>
        <w:t>ΔΙΕΥΘΥΝΣΗ ΑΝΑΠΤΥΞΗΣ ΦΟΡΟΛΟΓΙΚΩΝ ΕΦΑΡΜΟΓΩΝ ΤΜΗΜΑ Γ</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ΤΜΗΜΑΤΑ Β,Δ</w:t>
      </w:r>
    </w:p>
    <w:p>
      <w:pPr>
        <w:spacing w:before="240" w:after="240"/>
        <w:rPr>
          <w:lang w:val="el" w:eastAsia="el"/>
        </w:rPr>
      </w:pPr>
      <w:r>
        <w:rPr>
          <w:b/>
          <w:bCs/>
          <w:lang w:val="el" w:eastAsia="el"/>
        </w:rPr>
        <w:t>ΙΙΙ. 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 ΜΗΤΡΩΟΥ ΚΑΙ ΕΙΚΟΝΑΣ ΦΟΡΟΛΟΓΟΥΜΕΝΩΝ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6ΝΠΗ46ΜΠ3Ζ-ΕΥΞ</w:t>
      </w:r>
    </w:p>
    <w:p>
      <w:pPr>
        <w:spacing w:before="240" w:after="240"/>
        <w:rPr>
          <w:lang w:val="el" w:eastAsia="el"/>
        </w:rPr>
      </w:pPr>
      <w:r>
        <w:rPr>
          <w:b/>
          <w:bCs/>
          <w:lang w:val="el" w:eastAsia="el"/>
        </w:rPr>
        <w:t>Αριθ. ΦΕΚ: B 1530/31-03-2025</w:t>
      </w:r>
    </w:p>
    <w:p>
      <w:pPr>
        <w:spacing w:before="240" w:after="240"/>
        <w:rPr>
          <w:lang w:val="el" w:eastAsia="el"/>
        </w:rPr>
      </w:pPr>
      <w:r>
        <w:rPr>
          <w:b/>
          <w:bCs/>
          <w:lang w:val="el" w:eastAsia="el"/>
        </w:rPr>
        <w:t>Αθήνα, 28/03/2025</w:t>
      </w:r>
    </w:p>
    <w:p>
      <w:pPr>
        <w:spacing w:before="240" w:after="240"/>
        <w:rPr>
          <w:lang w:val="el" w:eastAsia="el"/>
        </w:rPr>
      </w:pPr>
      <w:r>
        <w:rPr>
          <w:b/>
          <w:bCs/>
          <w:lang w:val="el" w:eastAsia="el"/>
        </w:rPr>
        <w:t>Α. 1049</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Πειραιώς 180, 177 78 ΤΑΥΡΟΣ </w:t>
      </w:r>
      <w:hyperlink r:id="rId4" w:history="1">
        <w:r>
          <w:rPr>
            <w:rStyle w:val="Hyperlink"/>
            <w:b/>
            <w:bCs/>
            <w:color w:val="0000EE"/>
            <w:u w:color="0000EE"/>
            <w:lang w:val="el" w:eastAsia="el"/>
          </w:rPr>
          <w:t>deef@aade.gr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Θέμα: Υποβολή δήλωσης Φόρου Προστιθέμενης Αξίας (ΦΠΑ) ανά ημερολογιακό μήνα από υπόχρεους σε υποβολή δήλωσης ΦΠΑ για κάθε φορολογική περίοδο οι οποίοι χρησιμοποιούν απλογραφικό λογιστικό σύστημα.</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άρθρου 43 του Κώδικα Φόρου Προστιθέμενης Αξίας (ν. 5144/2024, Α΄162), εφεξής «Κώδικας ΦΠΑ», και ιδίως των περ. α’ και γ’ της παρ. 12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6, 11, 22, 23, 42 , της παρ. 3 του άρθρου 83, της παρ. 4 του άρθρου 84 και του άρθρου 85 του ν. 5104/2024 «Κώδικας Φορολογικής Διαδικασίας και άλλες διατάξεις» ( Α΄58),</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spacing w:before="240" w:after="240"/>
        <w:rPr>
          <w:lang w:val="el" w:eastAsia="el"/>
        </w:rPr>
      </w:pPr>
      <w:r>
        <w:rPr>
          <w:u w:val="single"/>
          <w:lang w:val="el" w:eastAsia="el"/>
        </w:rPr>
        <w:t xml:space="preserve">2. </w:t>
      </w:r>
      <w:r>
        <w:rPr>
          <w:b/>
          <w:bCs/>
          <w:u w:val="single"/>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υπό στοιχεία 5294 ΕΞ 2020/17-1-2020 (Υ.Ο.Δ.Δ. 27) του Υπουργού Οικονομικών και υπό στοιχεία 7608 ΕΞ2025/17-1-2025 (Υ.Ο.Δ.Δ. 11)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u w:val="single"/>
          <w:lang w:val="el" w:eastAsia="el"/>
        </w:rPr>
        <w:t xml:space="preserve">3. </w:t>
      </w:r>
      <w:r>
        <w:rPr>
          <w:b/>
          <w:bCs/>
          <w:u w:val="single"/>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4. </w:t>
      </w:r>
      <w:r>
        <w:rPr>
          <w:b/>
          <w:bCs/>
          <w:u w:val="single"/>
          <w:lang w:val="el" w:eastAsia="el"/>
        </w:rPr>
        <w:t>Την υπό στοιχεία Δ.ΟΡΓ.Α 1065199 ΕΞ 2022/20-7-2022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3886).</w:t>
      </w:r>
    </w:p>
    <w:p>
      <w:pPr>
        <w:spacing w:before="240" w:after="240"/>
        <w:rPr>
          <w:lang w:val="el" w:eastAsia="el"/>
        </w:rPr>
      </w:pPr>
      <w:r>
        <w:rPr>
          <w:u w:val="single"/>
          <w:lang w:val="el" w:eastAsia="el"/>
        </w:rPr>
        <w:t xml:space="preserve">5. </w:t>
      </w:r>
      <w:r>
        <w:rPr>
          <w:b/>
          <w:bCs/>
          <w:u w:val="single"/>
          <w:lang w:val="el" w:eastAsia="el"/>
        </w:rPr>
        <w:t>Την υπό στοιχεία Α.1213/2021 απόφαση του Διοικητή της Ανεξάρτητης Αρχής Δημοσίων Εσόδων «Μεταβολή στοιχείων και διακοπή εργασιών επιχείρησης φυσικών προσώπων, νομικών προσώπων και νομικών οντοτήτων με τη χρήση ηλεκτρονικών υπηρεσιών» (Β΄4272).</w:t>
      </w:r>
    </w:p>
    <w:p>
      <w:pPr>
        <w:spacing w:before="240" w:after="240"/>
        <w:rPr>
          <w:lang w:val="el" w:eastAsia="el"/>
        </w:rPr>
      </w:pPr>
      <w:r>
        <w:rPr>
          <w:u w:val="single"/>
          <w:lang w:val="el" w:eastAsia="el"/>
        </w:rPr>
        <w:t xml:space="preserve">6. </w:t>
      </w:r>
      <w:r>
        <w:rPr>
          <w:b/>
          <w:bCs/>
          <w:u w:val="single"/>
          <w:lang w:val="el" w:eastAsia="el"/>
        </w:rPr>
        <w:t>Την ανάγκη ορισμού μηνιαίας φορολογικής περιόδου για την υποβολή της δήλωσης ΦΠΑ από υπόχρεους σε υποβολή δήλωσης Φόρου Προστιθέμενης Αξίας για κάθε φορολογική περίοδο, οι οποίοι χρησιμοποιούν απλογραφικό λογιστικό σύστημα, προκειμένου να υφίσταται όμοια φορολογική περίοδος για τις δηλωτικές υποχρεώσεις του ΦΠΑ για τις επιχειρήσεις που τηρούν απλογραφικό λογιστικό σύστημα και για εκείνες που τηρούν διπλογραφικό λογιστικό σύστημα.</w:t>
      </w:r>
    </w:p>
    <w:p>
      <w:pPr>
        <w:spacing w:before="240" w:after="240"/>
        <w:rPr>
          <w:lang w:val="el" w:eastAsia="el"/>
        </w:rPr>
      </w:pPr>
      <w:r>
        <w:rPr>
          <w:u w:val="single"/>
          <w:lang w:val="el" w:eastAsia="el"/>
        </w:rPr>
        <w:t xml:space="preserve">7. </w:t>
      </w:r>
      <w:r>
        <w:rPr>
          <w:b/>
          <w:bCs/>
          <w:u w:val="single"/>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u w:val="single"/>
          <w:lang w:val="el" w:eastAsia="el"/>
        </w:rPr>
        <w:t xml:space="preserve">8. </w:t>
      </w:r>
      <w:r>
        <w:rPr>
          <w:b/>
          <w:bCs/>
          <w:u w:val="single"/>
          <w:lang w:val="el" w:eastAsia="el"/>
        </w:rPr>
        <w:t>Το γεγονός ότι με τις διατάξεις της παρούσας τροποποιείται η διοικητική διαδικασία με επίσημο τίτλο «Δήλωση ΦΠΑ» και Μοναδικό Αριθμό Καταχώρισης (Μ.Α.Κ.) στο ΕΜΔΔ «Μίτος» 463435.</w:t>
      </w:r>
    </w:p>
    <w:p>
      <w:pPr>
        <w:spacing w:before="240" w:after="240"/>
        <w:rPr>
          <w:lang w:val="el" w:eastAsia="el"/>
        </w:rPr>
      </w:pPr>
      <w:r>
        <w:rPr>
          <w:b/>
          <w:bCs/>
          <w:u w:val="single"/>
          <w:lang w:val="el" w:eastAsia="el"/>
        </w:rPr>
        <w:t>Αποφασίζουμε</w:t>
      </w:r>
    </w:p>
    <w:p>
      <w:pPr>
        <w:spacing w:before="240" w:after="240"/>
        <w:rPr>
          <w:lang w:val="el" w:eastAsia="el"/>
        </w:rPr>
      </w:pPr>
      <w:r>
        <w:rPr>
          <w:b/>
          <w:bCs/>
          <w:u w:val="single"/>
          <w:lang w:val="el" w:eastAsia="el"/>
        </w:rPr>
        <w:t>Καθορίζουμε τη φορολογική περίοδο για την οποία υποβάλλεται η δήλωση ΦΠΑ από υπόχρεους σε υποβολή δήλωσης ΦΠΑ για κάθε φορολογική περίοδο, οι οποίοι χρησιμοποιούν απλογραφικό λογιστικό σύστημα, ως κάτωθι:</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Φορολογική περίοδος υποβολής της δήλωσης ΦΠΑ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Κατά παρέκκλιση της περ. β της παρ. 1 του άρθρου 43 του Κώδικα ΦΠΑ (ν. 5144/2024, Α΄162), οι υπόχρεοι στον φόρο, οι οποίοι χρησιμοποιούν απλογραφικό λογιστικό σύστημα και ενεργούν φορολογητέες πράξεις ή πράξεις απαλλασσόμενες του φόρου για τις οποίες έχουν δικαίωμα έκπτωσης του φόρου εισροών με βάση το άρθρο 35 του Κώδικα ΦΠΑ, με έναρξη εργασιών από 1.4.2025 και εφεξής, υποβάλλουν δήλωση ΦΠΑ για κάθε μηνιαία φορολογική περίοδο.</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παρ. 1 εφαρμόζεται από 1.7.2025 και εφεξής και για τους υποκείμενους στον φόρο με έναρξη εργασιών από 1.1.2024 έως 31.3.2025.</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παρ. 1 δεν εφαρμόζεται κατά το χρονικό διάστημα εργασιών υπό ίδρυση επιχείρησης φυσικού ή νομικού προσώπου ή νομικής οντότητας.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Επιλογή και ανάκληση επιλογής τριμηνιαίας φορολογικής περιόδου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υποκείμενοι του άρθρου 1 έχουν την δυνατότητα επιλογής υποβολής δήλωσης ΦΠΑ ανά τρίμηνη φορολογική περίοδο. Ειδικότερα, η δήλωση επιλογής φορολογικής περιόδου δύναται να γίνει μέχρι την προτελευταία εργάσιμη του 1</w:t>
      </w:r>
      <w:r>
        <w:rPr>
          <w:b/>
          <w:bCs/>
          <w:sz w:val="30"/>
          <w:szCs w:val="30"/>
          <w:u w:val="single"/>
          <w:vertAlign w:val="superscript"/>
          <w:lang w:val="el" w:eastAsia="el"/>
        </w:rPr>
        <w:t>ου</w:t>
      </w:r>
      <w:r>
        <w:rPr>
          <w:b/>
          <w:bCs/>
          <w:u w:val="single"/>
          <w:lang w:val="el" w:eastAsia="el"/>
        </w:rPr>
        <w:t xml:space="preserve"> ή 4</w:t>
      </w:r>
      <w:r>
        <w:rPr>
          <w:b/>
          <w:bCs/>
          <w:sz w:val="30"/>
          <w:szCs w:val="30"/>
          <w:u w:val="single"/>
          <w:vertAlign w:val="superscript"/>
          <w:lang w:val="el" w:eastAsia="el"/>
        </w:rPr>
        <w:t>ου</w:t>
      </w:r>
      <w:r>
        <w:rPr>
          <w:b/>
          <w:bCs/>
          <w:u w:val="single"/>
          <w:lang w:val="el" w:eastAsia="el"/>
        </w:rPr>
        <w:t xml:space="preserve"> ή 7</w:t>
      </w:r>
      <w:r>
        <w:rPr>
          <w:b/>
          <w:bCs/>
          <w:sz w:val="30"/>
          <w:szCs w:val="30"/>
          <w:u w:val="single"/>
          <w:vertAlign w:val="superscript"/>
          <w:lang w:val="el" w:eastAsia="el"/>
        </w:rPr>
        <w:t>ου</w:t>
      </w:r>
      <w:r>
        <w:rPr>
          <w:b/>
          <w:bCs/>
          <w:u w:val="single"/>
          <w:lang w:val="el" w:eastAsia="el"/>
        </w:rPr>
        <w:t xml:space="preserve"> ή 10</w:t>
      </w:r>
      <w:r>
        <w:rPr>
          <w:b/>
          <w:bCs/>
          <w:sz w:val="30"/>
          <w:szCs w:val="30"/>
          <w:u w:val="single"/>
          <w:vertAlign w:val="superscript"/>
          <w:lang w:val="el" w:eastAsia="el"/>
        </w:rPr>
        <w:t xml:space="preserve">ου </w:t>
      </w:r>
      <w:r>
        <w:rPr>
          <w:b/>
          <w:bCs/>
          <w:u w:val="single"/>
          <w:lang w:val="el" w:eastAsia="el"/>
        </w:rPr>
        <w:t>μήνα, κατά περίπτωση, εφόσον έως τον αμέσως προηγούμενο μήνα από την δήλωση επιλογής έχουν συμπληρωθεί τουλάχιστον 24 μήνες από τον χρόνο έναρξης εργασιών της επιχείρησης. Η ισχύς της επιλογής φορολογικής περιόδου εκκινεί από την 1</w:t>
      </w:r>
      <w:r>
        <w:rPr>
          <w:b/>
          <w:bCs/>
          <w:sz w:val="30"/>
          <w:szCs w:val="30"/>
          <w:u w:val="single"/>
          <w:vertAlign w:val="superscript"/>
          <w:lang w:val="el" w:eastAsia="el"/>
        </w:rPr>
        <w:t>η</w:t>
      </w:r>
      <w:r>
        <w:rPr>
          <w:b/>
          <w:bCs/>
          <w:u w:val="single"/>
          <w:lang w:val="el" w:eastAsia="el"/>
        </w:rPr>
        <w:t xml:space="preserve"> ημέρα του μήνα υποβολής της δήλωσης επιλογής.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δήλωση επιλογής της προηγούμενης παραγράφου γίνεται μέσα από την ψηφιακή πύλη myAADE της ΑΑΔΕ, στην επιλογή Μητρώο και Επικοινωνία / Αλλαγή στοιχείων μητρώου.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δήλωση επιλογής τρίμηνης φορολογικής περιόδου δεν μπορεί να ανακληθεί πριν από την παρέλευση 12 μηνών από την έναρξη ισχύος της επιλογής της παρ. 1.</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Οι προϋποθέσεις και η διαδικασία του παρόντος εφαρμόζονται και για τους υποκείμενους οι οποίοι συμπλήρωσαν αθροιστικά 24 μήνες από το χρόνο έναρξης των εργασιών τους ή 12 μήνες από την επιλογή του άρθρου 3 και επιθυμούν εκ νέου να υποβάλουν δήλωση ΦΠΑ για κάθε τρίμηνη φορολογική περίοδο.</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3Επιλογή και ανάκληση επιλογής μηνιαίας φορολογικής περιόδου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Κατά παρέκκλιση της περ. β της παρ. 1 του άρθρου 43 του Κώδικα ΦΠΑ (ν. 5144/2024, Α΄162), οι υπόχρεοι στον φόρο, οι οποίοι χρησιμοποιούν απλογραφικό</w:t>
      </w:r>
    </w:p>
    <w:p>
      <w:pPr>
        <w:spacing w:before="240" w:after="240"/>
        <w:rPr>
          <w:lang w:val="el" w:eastAsia="el"/>
        </w:rPr>
      </w:pPr>
      <w:r>
        <w:rPr>
          <w:b/>
          <w:bCs/>
          <w:u w:val="single"/>
          <w:lang w:val="el" w:eastAsia="el"/>
        </w:rPr>
        <w:t>λογιστικό σύστημα και ενεργούν φορολογητέες πράξεις ή πράξεις απαλλασσόμενες του φόρου για τις οποίες έχουν δικαίωμα έκπτωσης του φόρου εισροών με βάση το άρθρο 35 του Κώδικα ΦΠΑ, με έναρξη εργασιών έως 31.12.2023 και τριμηνιαία υποβολή δηλώσεων, δύνανται να επιλέξουν να υποβάλουν δήλωση ΦΠΑ για κάθε μηνιαία φορολογική περίοδο. Η δήλωση επιλογής μηνιαίας φορολογικής περιόδου υποβάλλεται μέχρι την προτελευταία εργάσιμη του 1</w:t>
      </w:r>
      <w:r>
        <w:rPr>
          <w:b/>
          <w:bCs/>
          <w:sz w:val="30"/>
          <w:szCs w:val="30"/>
          <w:u w:val="single"/>
          <w:vertAlign w:val="superscript"/>
          <w:lang w:val="el" w:eastAsia="el"/>
        </w:rPr>
        <w:t>ου</w:t>
      </w:r>
      <w:r>
        <w:rPr>
          <w:b/>
          <w:bCs/>
          <w:u w:val="single"/>
          <w:lang w:val="el" w:eastAsia="el"/>
        </w:rPr>
        <w:t xml:space="preserve"> ή 4</w:t>
      </w:r>
      <w:r>
        <w:rPr>
          <w:b/>
          <w:bCs/>
          <w:sz w:val="30"/>
          <w:szCs w:val="30"/>
          <w:u w:val="single"/>
          <w:vertAlign w:val="superscript"/>
          <w:lang w:val="el" w:eastAsia="el"/>
        </w:rPr>
        <w:t>ου</w:t>
      </w:r>
      <w:r>
        <w:rPr>
          <w:b/>
          <w:bCs/>
          <w:u w:val="single"/>
          <w:lang w:val="el" w:eastAsia="el"/>
        </w:rPr>
        <w:t xml:space="preserve"> ή 7</w:t>
      </w:r>
      <w:r>
        <w:rPr>
          <w:b/>
          <w:bCs/>
          <w:sz w:val="30"/>
          <w:szCs w:val="30"/>
          <w:u w:val="single"/>
          <w:vertAlign w:val="superscript"/>
          <w:lang w:val="el" w:eastAsia="el"/>
        </w:rPr>
        <w:t>ου</w:t>
      </w:r>
      <w:r>
        <w:rPr>
          <w:b/>
          <w:bCs/>
          <w:u w:val="single"/>
          <w:lang w:val="el" w:eastAsia="el"/>
        </w:rPr>
        <w:t xml:space="preserve"> ή 10</w:t>
      </w:r>
      <w:r>
        <w:rPr>
          <w:b/>
          <w:bCs/>
          <w:sz w:val="30"/>
          <w:szCs w:val="30"/>
          <w:u w:val="single"/>
          <w:vertAlign w:val="superscript"/>
          <w:lang w:val="el" w:eastAsia="el"/>
        </w:rPr>
        <w:t>ου</w:t>
      </w:r>
      <w:r>
        <w:rPr>
          <w:b/>
          <w:bCs/>
          <w:u w:val="single"/>
          <w:lang w:val="el" w:eastAsia="el"/>
        </w:rPr>
        <w:t xml:space="preserve"> μήνα, κατά περίπτωση, αρχής γενομένης από την 1.10.2025. Η ισχύς της επιλογής μηνιαίας φορολογικής περιόδου εκκινεί από την 1</w:t>
      </w:r>
      <w:r>
        <w:rPr>
          <w:b/>
          <w:bCs/>
          <w:sz w:val="30"/>
          <w:szCs w:val="30"/>
          <w:u w:val="single"/>
          <w:vertAlign w:val="superscript"/>
          <w:lang w:val="el" w:eastAsia="el"/>
        </w:rPr>
        <w:t>η</w:t>
      </w:r>
      <w:r>
        <w:rPr>
          <w:b/>
          <w:bCs/>
          <w:u w:val="single"/>
          <w:lang w:val="el" w:eastAsia="el"/>
        </w:rPr>
        <w:t xml:space="preserve"> ημέρα του μήνα υποβολής της δήλωσης επιλογής και δεν μπορεί να ανακληθεί πριν από την παρέλευση 12 μηνών.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δήλωση επιλογής της προηγούμενης παραγράφου και η δήλωση ανάκλησης αυτής γίνεται μέσα από την ψηφιακή πύλη myAADE της ΑΑΔΕ, στην επιλογή Μητρώο και Επικοινωνία / Αλλαγή στοιχείων μητρώου.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Οι προϋποθέσεις και η διαδικασία του παρόντος εφαρμόζονται και για τους υποκείμενους με έναρξη εργασιών από 1.1.2024 οι οποίοι συμπλήρωσαν αθροιστικά 24 μήνες από τον χρόνο έναρξης των εργασιών τους και 12 μήνες από την επιλογή του άρθρου 2 και επιθυμούν εκ νέου να υποβάλουν δήλωση ΦΠΑ για κάθε μηνιαία φορολογική περίοδο.</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4Έναρξη ισχύος</w:t>
      </w:r>
    </w:p>
    <w:p>
      <w:pPr>
        <w:spacing w:before="240" w:after="240"/>
        <w:rPr>
          <w:lang w:val="el" w:eastAsia="el"/>
        </w:rPr>
      </w:pPr>
      <w:r>
        <w:rPr>
          <w:b/>
          <w:bCs/>
          <w:u w:val="single"/>
          <w:lang w:val="el" w:eastAsia="el"/>
        </w:rPr>
        <w:t>Η παρούσα ισχύει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αριθμ. 2</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u w:val="single"/>
          <w:lang w:val="el" w:eastAsia="el"/>
        </w:rPr>
        <w:t xml:space="preserve">3. </w:t>
      </w:r>
      <w:r>
        <w:rPr>
          <w:b/>
          <w:bCs/>
          <w:u w:val="single"/>
          <w:lang w:val="el" w:eastAsia="el"/>
        </w:rPr>
        <w:t>Διεύθυνση Επικοινωνίας</w:t>
      </w:r>
    </w:p>
    <w:p>
      <w:pPr>
        <w:spacing w:before="240" w:after="240"/>
        <w:rPr>
          <w:lang w:val="el" w:eastAsia="el"/>
        </w:rPr>
      </w:pPr>
      <w:r>
        <w:rPr>
          <w:u w:val="single"/>
          <w:lang w:val="el" w:eastAsia="el"/>
        </w:rPr>
        <w:t xml:space="preserve">4. </w:t>
      </w:r>
      <w:r>
        <w:rPr>
          <w:b/>
          <w:bCs/>
          <w:u w:val="single"/>
          <w:lang w:val="el" w:eastAsia="el"/>
        </w:rPr>
        <w:t>Ηλεκτρονικη Βιβλιοθήκη ΑΑΔΕ</w:t>
      </w:r>
    </w:p>
    <w:p>
      <w:pPr>
        <w:spacing w:before="240" w:after="240"/>
        <w:rPr>
          <w:lang w:val="el" w:eastAsia="el"/>
        </w:rPr>
      </w:pPr>
      <w:r>
        <w:rPr>
          <w:u w:val="single"/>
          <w:lang w:val="el" w:eastAsia="el"/>
        </w:rPr>
        <w:t xml:space="preserve">5.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999"/>
        <w:gridCol w:w="999"/>
        <w:gridCol w:w="519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13,19,20.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spacing w:before="240" w:after="240"/>
        <w:rPr>
          <w:lang w:val="el" w:eastAsia="el"/>
        </w:rPr>
      </w:pPr>
      <w:r>
        <w:rPr>
          <w:b/>
          <w:bCs/>
          <w:u w:val="single"/>
          <w:lang w:val="el" w:eastAsia="el"/>
        </w:rPr>
        <w:t>1. Αποδέκτες Πίνακα</w:t>
      </w:r>
    </w:p>
    <w:p>
      <w:pPr>
        <w:spacing w:before="240" w:after="240"/>
        <w:rPr>
          <w:lang w:val="el" w:eastAsia="el"/>
        </w:rPr>
      </w:pPr>
      <w:r>
        <w:rPr>
          <w:b/>
          <w:bCs/>
          <w:u w:val="single"/>
          <w:lang w:val="el" w:eastAsia="el"/>
        </w:rPr>
        <w:t>Α΄ μόνο οι αριθμ. 1 και 4.</w:t>
      </w:r>
    </w:p>
    <w:p>
      <w:pPr>
        <w:spacing w:before="240" w:after="240"/>
        <w:rPr>
          <w:lang w:val="el" w:eastAsia="el"/>
        </w:rPr>
      </w:pPr>
      <w:r>
        <w:rPr>
          <w:b/>
          <w:bCs/>
          <w:u w:val="single"/>
          <w:lang w:val="el" w:eastAsia="el"/>
        </w:rPr>
        <w:t>2. Αποδέκτες Πίνακα Β΄.</w:t>
      </w:r>
    </w:p>
    <w:p>
      <w:pPr>
        <w:spacing w:before="240" w:after="240"/>
        <w:rPr>
          <w:lang w:val="el" w:eastAsia="el"/>
        </w:rPr>
      </w:pPr>
      <w:r>
        <w:rPr>
          <w:u w:val="single"/>
          <w:lang w:val="el" w:eastAsia="el"/>
        </w:rPr>
        <w:t xml:space="preserve">8.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9.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10. </w:t>
      </w:r>
      <w:r>
        <w:rPr>
          <w:b/>
          <w:bCs/>
          <w:u w:val="single"/>
          <w:lang w:val="el" w:eastAsia="el"/>
        </w:rPr>
        <w:t>Γραφείο Γεν. Γραμματέα Φορολογικής Πολιτικής</w:t>
      </w:r>
    </w:p>
    <w:p>
      <w:pPr>
        <w:spacing w:before="240" w:after="240"/>
        <w:rPr>
          <w:lang w:val="el" w:eastAsia="el"/>
        </w:rPr>
      </w:pPr>
      <w:r>
        <w:rPr>
          <w:u w:val="single"/>
          <w:lang w:val="el" w:eastAsia="el"/>
        </w:rPr>
        <w:t xml:space="preserve">11. </w:t>
      </w:r>
      <w:r>
        <w:rPr>
          <w:b/>
          <w:bCs/>
          <w:u w:val="single"/>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w:t>
      </w:r>
    </w:p>
    <w:p>
      <w:pPr>
        <w:spacing w:before="240" w:after="240"/>
        <w:rPr>
          <w:lang w:val="el" w:eastAsia="el"/>
        </w:rPr>
      </w:pPr>
      <w:r>
        <w:rPr>
          <w:u w:val="single"/>
          <w:lang w:val="el" w:eastAsia="el"/>
        </w:rPr>
        <w:t xml:space="preserve">4. </w:t>
      </w:r>
      <w:r>
        <w:rPr>
          <w:b/>
          <w:bCs/>
          <w:u w:val="single"/>
          <w:lang w:val="el" w:eastAsia="el"/>
        </w:rPr>
        <w:t>Διεύθυνση Εφαρμογής Έμμεσης Φορολογίας</w:t>
      </w:r>
    </w:p>
    <w:p>
      <w:pPr>
        <w:spacing w:before="240" w:after="240"/>
        <w:rPr>
          <w:lang w:val="el" w:eastAsia="el"/>
        </w:rPr>
      </w:pPr>
      <w:r>
        <w:rPr>
          <w:u w:val="single"/>
          <w:lang w:val="el" w:eastAsia="el"/>
        </w:rPr>
        <w:t xml:space="preserve">5. </w:t>
      </w:r>
      <w:r>
        <w:rPr>
          <w:b/>
          <w:bCs/>
          <w:u w:val="single"/>
          <w:lang w:val="el" w:eastAsia="el"/>
        </w:rPr>
        <w:t>Διεύθυνση Ελεγκτικών Διαδικασιών</w:t>
      </w:r>
    </w:p>
    <w:p>
      <w:pPr>
        <w:spacing w:before="240" w:after="240"/>
        <w:rPr>
          <w:lang w:val="el" w:eastAsia="el"/>
        </w:rPr>
      </w:pPr>
      <w:r>
        <w:rPr>
          <w:u w:val="single"/>
          <w:lang w:val="el" w:eastAsia="el"/>
        </w:rPr>
        <w:t xml:space="preserve">6. </w:t>
      </w:r>
      <w:r>
        <w:rPr>
          <w:b/>
          <w:bCs/>
          <w:u w:val="single"/>
          <w:lang w:val="el" w:eastAsia="el"/>
        </w:rPr>
        <w:t>Διεύθυνση Επιχειρησιακών Διαδικασιών</w:t>
      </w:r>
    </w:p>
    <w:p>
      <w:pPr>
        <w:spacing w:before="240" w:after="240"/>
        <w:rPr>
          <w:lang w:val="el" w:eastAsia="el"/>
        </w:rPr>
      </w:pPr>
      <w:r>
        <w:rPr>
          <w:u w:val="single"/>
          <w:lang w:val="el" w:eastAsia="el"/>
        </w:rPr>
        <w:t xml:space="preserve">7. </w:t>
      </w:r>
      <w:r>
        <w:rPr>
          <w:b/>
          <w:bCs/>
          <w:u w:val="single"/>
          <w:lang w:val="el" w:eastAsia="el"/>
        </w:rPr>
        <w:t>Διεύθυνση Ανάπτυξης Φορολογικών Εφαρμογών</w:t>
      </w:r>
    </w:p>
    <w:p>
      <w:pPr>
        <w:spacing w:before="240" w:after="240"/>
        <w:rPr>
          <w:lang w:val="el" w:eastAsia="el"/>
        </w:rPr>
      </w:pPr>
      <w:r>
        <w:rPr>
          <w:u w:val="single"/>
          <w:lang w:val="el" w:eastAsia="el"/>
        </w:rPr>
        <w:t xml:space="preserve">8. </w:t>
      </w:r>
      <w:r>
        <w:rPr>
          <w:b/>
          <w:bCs/>
          <w:u w:val="single"/>
          <w:lang w:val="el" w:eastAsia="el"/>
        </w:rPr>
        <w:t>Διεύθυνση Εξυπηρέτησης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