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94Θ746ΜΠ3Ζ-ΕΟΧ</w:t>
      </w:r>
    </w:p>
    <w:p>
      <w:pPr>
        <w:pStyle w:val="Title"/>
        <w:spacing w:before="120" w:after="360"/>
        <w:rPr>
          <w:lang w:val="el" w:eastAsia="el"/>
        </w:rPr>
      </w:pPr>
      <w:r>
        <w:rPr>
          <w:b/>
          <w:bCs/>
          <w:lang w:val="el" w:eastAsia="el"/>
        </w:rPr>
        <w:t>Αριθ. ΦΕΚ: Β’ 1796/11</w:t>
      </w:r>
    </w:p>
    <w:p>
      <w:pPr>
        <w:pStyle w:val="Title"/>
        <w:spacing w:before="120" w:after="360"/>
        <w:rPr>
          <w:lang w:val="el" w:eastAsia="el"/>
        </w:rPr>
      </w:pPr>
      <w:r>
        <w:rPr>
          <w:b/>
          <w:bCs/>
          <w:lang w:val="el" w:eastAsia="el"/>
        </w:rPr>
        <w:t>Β’ 2182/6.5.2025</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Title"/>
        <w:spacing w:before="120" w:after="360"/>
        <w:rPr>
          <w:lang w:val="el" w:eastAsia="el"/>
        </w:rPr>
      </w:pPr>
      <w:r>
        <w:rPr>
          <w:b/>
          <w:bCs/>
          <w:lang w:val="el" w:eastAsia="el"/>
        </w:rPr>
        <w:t>Ανεξάρτητη Αρχή .ΟΛΟΓΙΑΣ ηι^σιων Εσοδα mtYUYNiM t^Anviui Hi AΜΕΣΗΣ ΦΟΡΟΛΟΓΙΑΣ (ΔΕΑΦ)</w:t>
      </w:r>
    </w:p>
    <w:p>
      <w:pPr>
        <w:pStyle w:val="Title"/>
        <w:spacing w:before="120" w:after="360"/>
        <w:rPr>
          <w:lang w:val="el" w:eastAsia="el"/>
        </w:rPr>
      </w:pPr>
      <w:r>
        <w:rPr>
          <w:b/>
          <w:bCs/>
          <w:lang w:val="el" w:eastAsia="el"/>
        </w:rPr>
        <w:t>ΤΜΗΜΑΤΑ Α΄, Β΄, Γ΄</w:t>
      </w:r>
    </w:p>
    <w:p>
      <w:pPr>
        <w:pStyle w:val="Title"/>
        <w:spacing w:before="120" w:after="36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ΙΙ. 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spacing w:before="240" w:after="240"/>
        <w:rPr>
          <w:lang w:val="el" w:eastAsia="el"/>
        </w:rPr>
      </w:pPr>
      <w:r>
        <w:rPr>
          <w:b/>
          <w:bCs/>
          <w:lang w:val="el" w:eastAsia="el"/>
        </w:rPr>
        <w:t>Ταχ. Δ/νση : Πειραιώς 180</w:t>
      </w:r>
    </w:p>
    <w:p>
      <w:pPr>
        <w:spacing w:before="240" w:after="240"/>
        <w:rPr>
          <w:lang w:val="el" w:eastAsia="el"/>
        </w:rPr>
      </w:pPr>
      <w:r>
        <w:rPr>
          <w:b/>
          <w:bCs/>
          <w:lang w:val="el" w:eastAsia="el"/>
        </w:rPr>
        <w:t>Ταχ. Κώδικας : 177 78 Αθήνα</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deaf@aade.gr</w:t>
        </w:r>
      </w:hyperlink>
    </w:p>
    <w:p>
      <w:pPr>
        <w:spacing w:before="240" w:after="240"/>
        <w:rPr>
          <w:lang w:val="el" w:eastAsia="el"/>
        </w:rPr>
      </w:pPr>
      <w:hyperlink r:id="rId5" w:history="1">
        <w:r>
          <w:rPr>
            <w:rStyle w:val="Hyperlink"/>
            <w:b/>
            <w:bCs/>
            <w:color w:val="0000EE"/>
            <w:u w:color="0000EE"/>
            <w:lang w:val="el" w:eastAsia="el"/>
          </w:rPr>
          <w:t>deef@aade.gr</w:t>
        </w:r>
      </w:hyperlink>
    </w:p>
    <w:p>
      <w:pPr>
        <w:spacing w:before="240" w:after="240"/>
        <w:rPr>
          <w:lang w:val="el" w:eastAsia="el"/>
        </w:rPr>
      </w:pPr>
      <w:r>
        <w:rPr>
          <w:b/>
          <w:bCs/>
          <w:lang w:val="el" w:eastAsia="el"/>
        </w:rPr>
        <w:t xml:space="preserve">Url : </w:t>
      </w:r>
      <w:hyperlink r:id="rId6"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«Τύπος και περιεχόμενο της πράξης επιβολής προστίμου στις περιπτώσεις εκπρόθεσμης υποβολής δήλωσης φορολογίας εισοδήματος φυσικών προσώπων και νομικών προσώπων και νομικών οντοτήτων, απόδοσης παρακρατούμενων φόρων, φόρου πλοίων, τέλους αλιευτικών, ρυμουλκών πλοίων και αυτοκινούμενων βυθοκόρων, εισφοράς επί του εισαγόμενου συναλλάγματος, φόρου μερισμάτων, εκτάκτων αμοιβών και ποσοστών (bonus) επιπλέον των μισθών του άρθρου 43 του ν. 4111/2013, καθώς και δήλωσης ΦΠΑ, ανακεφαλαιωτικού πίνακα ενδοκοινοτικών παραδόσεων αγαθών και παροχής υπηρεσιών, ανακεφαλαιωτικού πίνακα ενδοκοινοτικών αποκτήσεων αγαθών και λήψεων υπηρεσιών, δήλωσης αποθεμάτων μετάταξης και οποιαδήποτε άλλης δήλωσης ή γνωστοποίησης που υποβάλλεται σύμφωνα με τις διατάξεις του Κώδικα ΦΠΑ ».</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ν.5104/2024 «Κώδικας Φορολογικής Διαδικασίας και άλλες διατάξεις» ( Α' 58) και ιδίως του άρθρου 6 και της παρ.3 του άρθρου 83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του Κώδικα Φορολογικής Διαδικασίας (ν. 4987/2022, Α΄ 206) και ιδίως των άρθρων 18, 19 , 54, 58, 58Α, 59 και 62.</w:t>
      </w:r>
    </w:p>
    <w:p>
      <w:pPr>
        <w:pStyle w:val="StructureList1"/>
        <w:spacing w:before="120" w:after="0"/>
        <w:rPr>
          <w:lang w:val="el" w:eastAsia="el"/>
        </w:rPr>
      </w:pPr>
      <w:r>
        <w:rPr>
          <w:b/>
          <w:bCs/>
          <w:lang w:val="el" w:eastAsia="el"/>
        </w:rPr>
        <w:t>γ)</w:t>
      </w:r>
      <w:r>
        <w:rPr>
          <w:b/>
          <w:bCs/>
          <w:lang w:val="en" w:eastAsia="en"/>
        </w:rPr>
        <w:tab/>
      </w:r>
      <w:r>
        <w:rPr>
          <w:b/>
          <w:bCs/>
          <w:lang w:val="el" w:eastAsia="el"/>
        </w:rPr>
        <w:t>του ν. 4172/2013 «Φορολογία εισοδήματος, επείγοντα μέτρα εφαρμογής του ν. 4046/2012, του ν. 4093/2012 και του ν. 4127/2013 και άλλες διατάξεις» (Α΄ 167) και ιδίως των άρθρων 60, 64, 66Α, 67, 68, 69, 71Β και 71Γ,</w:t>
      </w:r>
    </w:p>
    <w:p>
      <w:pPr>
        <w:pStyle w:val="StructureList1"/>
        <w:spacing w:before="120" w:after="0"/>
        <w:rPr>
          <w:lang w:val="el" w:eastAsia="el"/>
        </w:rPr>
      </w:pPr>
      <w:r>
        <w:rPr>
          <w:b/>
          <w:bCs/>
          <w:lang w:val="el" w:eastAsia="el"/>
        </w:rPr>
        <w:t>δ)</w:t>
      </w:r>
      <w:r>
        <w:rPr>
          <w:b/>
          <w:bCs/>
          <w:lang w:val="en" w:eastAsia="en"/>
        </w:rPr>
        <w:tab/>
      </w:r>
      <w:r>
        <w:rPr>
          <w:b/>
          <w:bCs/>
          <w:lang w:val="el" w:eastAsia="el"/>
        </w:rPr>
        <w:t>της παρ. 6 του άρθρου 8 του ν. 3299/2004 «Κίνητρα Ιδιωτικών Επενδύσεων για την Οικονομική Ανάπτυξη και την Περιφερειακή Σύγκλιση» (Α’ 261),</w:t>
      </w:r>
    </w:p>
    <w:p>
      <w:pPr>
        <w:pStyle w:val="StructureList1"/>
        <w:spacing w:before="120" w:after="0"/>
        <w:rPr>
          <w:lang w:val="el" w:eastAsia="el"/>
        </w:rPr>
      </w:pPr>
      <w:r>
        <w:rPr>
          <w:b/>
          <w:bCs/>
          <w:lang w:val="el" w:eastAsia="el"/>
        </w:rPr>
        <w:t>ε)</w:t>
      </w:r>
      <w:r>
        <w:rPr>
          <w:b/>
          <w:bCs/>
          <w:lang w:val="en" w:eastAsia="en"/>
        </w:rPr>
        <w:tab/>
      </w:r>
      <w:r>
        <w:rPr>
          <w:b/>
          <w:bCs/>
          <w:lang w:val="el" w:eastAsia="el"/>
        </w:rPr>
        <w:t>του ν. 27/1975 «Περί φορολογίας πλοίων, επιβολής εισφοράς προς ανάπτυξιν της Εμπορικής Ναυτιλίας, εγκαταστάσεως αλλοδαπών ναυτιλιακών επιχειρήσεων και ρυθμίσεως συναφών θεμάτων» (Α΄77),</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57 του ν. 4646/2019 «Προσδιορισμός και καταβολή τέλους ρυμουλκών, αυτοκινούμενων βυθοκόρων και αλιευτικών πλοίων» (Α΄201) ,</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43 του ν.4111/2013 «Εισφορά σε ναυτιλιακές επιχειρήσεις του άρθρου 25 του ν.27/1975» (Α΄18) ,</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952/1971 (Α’160) περί προξενικών ναυτιλιακών τελών,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ν. 5144/2024 «Κώδικα Φόρου Προστιθέμενης Αξιας » (Α΄162 ) και ιδίως των άρθρων 41 και 43,</w:t>
      </w:r>
    </w:p>
    <w:p>
      <w:pPr>
        <w:pStyle w:val="StructureList1"/>
        <w:spacing w:before="120" w:after="0"/>
        <w:rPr>
          <w:lang w:val="el" w:eastAsia="el"/>
        </w:rPr>
      </w:pPr>
      <w:r>
        <w:rPr>
          <w:b/>
          <w:bCs/>
          <w:lang w:val="el" w:eastAsia="el"/>
        </w:rPr>
        <w:t>ι)</w:t>
      </w:r>
      <w:r>
        <w:rPr>
          <w:b/>
          <w:bCs/>
          <w:lang w:val="en" w:eastAsia="en"/>
        </w:rPr>
        <w:tab/>
      </w:r>
      <w:r>
        <w:rPr>
          <w:b/>
          <w:bCs/>
          <w:lang w:val="el" w:eastAsia="el"/>
        </w:rPr>
        <w:t>του ν. 2859/2000, Κύρωση Κώδικα Φόρου Προστιθέμενης Αξίας,(Α΄248) και ιδίως των άρθρων 36 και 38.</w:t>
      </w:r>
    </w:p>
    <w:p>
      <w:pPr>
        <w:spacing w:before="240" w:after="240"/>
        <w:rPr>
          <w:lang w:val="el" w:eastAsia="el"/>
        </w:rPr>
      </w:pPr>
      <w:r>
        <w:rPr>
          <w:b/>
          <w:bCs/>
          <w:lang w:val="el" w:eastAsia="el"/>
        </w:rPr>
        <w:t xml:space="preserve">2. </w:t>
      </w:r>
      <w:r>
        <w:rPr>
          <w:b/>
          <w:bCs/>
          <w:lang w:val="el" w:eastAsia="el"/>
        </w:rPr>
        <w:t>Την υπό στοιχεία Δ. ΟΡΓ. Α 1065199 ΕΞ 2022 απόφαση του Διοικητή της ΑΑΔΕ «Μεταβίβαση αρμοδιοτήτων και εξουσιοδότηση υπογραφής «Με εντολή Διοικητή» σε όργανα της Φορολογικής Διοίκησης» (B' 3886).</w:t>
      </w:r>
    </w:p>
    <w:p>
      <w:pPr>
        <w:spacing w:before="240" w:after="240"/>
        <w:rPr>
          <w:lang w:val="el" w:eastAsia="el"/>
        </w:rPr>
      </w:pPr>
      <w:r>
        <w:rPr>
          <w:b/>
          <w:bCs/>
          <w:lang w:val="el" w:eastAsia="el"/>
        </w:rPr>
        <w:t xml:space="preserve">3.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υπό στοιχεία 5294 ΕΞ 2020/17-01-2020 (Υ.Ο.Δ.Δ. 27) και υπ’ αρ. 7608/17.1.2025 (Υ.Ο.Δ.Δ. 11), του Υπουργού Εθνικής Οικονομίας και Οικονομικών «Ανανέωση της θητείας του Διοικητή της Ανεξάρτητης Αρχής Δημοσίων Εσόδων (Α.Α.Δ.Ε.)».</w:t>
      </w:r>
    </w:p>
    <w:p>
      <w:pPr>
        <w:spacing w:before="240" w:after="240"/>
        <w:rPr>
          <w:lang w:val="el" w:eastAsia="el"/>
        </w:rPr>
      </w:pPr>
      <w:r>
        <w:rPr>
          <w:b/>
          <w:bCs/>
          <w:lang w:val="el" w:eastAsia="el"/>
        </w:rPr>
        <w:t xml:space="preserve">4. </w:t>
      </w:r>
      <w:r>
        <w:rPr>
          <w:b/>
          <w:bCs/>
          <w:lang w:val="el" w:eastAsia="el"/>
        </w:rPr>
        <w:t>Την ανάγκη καθορισμού τύπου και περιεχομένου των πράξεων επιβολής προστίμου στις περιπτώσεις εκπρόθεσμης υποβολής δήλωσης φορολογίας εισοδήματος φυσικών προσώπων, νομικών προσώπων, απόδοσης παρακρατούμενων φόρων, υποβολής δήλωσης φόρου πλοίων, δήλωσης απόδοσης τέλους αλιευτικών, ρυμουλκών πλοίων και αυτοκινούμενων βυθοκόρων, δήλωσης προξενικών ναυτιλιακών τελών, δήλωσης εισφοράς επί του εισαγόμενου συναλλάγματος, φόρου μερισμάτων και εκτάκτων αμοιβών και ποσοστών (bonus) επιπλέον των μισθών του άρθρου 43 του ν. 4111/2013, δήλωσης ΦΠΑ, ανακεφαλαιωτικού πίνακα ενδοκοινοτικών παραδόσεων αγαθών και παροχής υπηρεσιών, ανακεφαλαιωτικού πίνακα ενδοκοινοτικών αποκτήσεων αγαθών και λήψεων υπηρεσιών, δήλωσης αποθεμάτων μετάταξης και οποιαδήποτε άλλης δήλωσης ή γνωστοποίησης που υποβάλλεται σύμφωνα με τις διατάξεις του Κώδικα ΦΠΑ καθώς και για τη διευκόλυνση της μηχανογραφικής διαχείρισης αυτών.</w:t>
      </w:r>
    </w:p>
    <w:p>
      <w:pPr>
        <w:spacing w:before="240" w:after="240"/>
        <w:rPr>
          <w:lang w:val="el" w:eastAsia="el"/>
        </w:rPr>
      </w:pPr>
      <w:r>
        <w:rPr>
          <w:b/>
          <w:bCs/>
          <w:lang w:val="el" w:eastAsia="el"/>
        </w:rPr>
        <w:t xml:space="preserve">5. </w:t>
      </w:r>
      <w:r>
        <w:rPr>
          <w:b/>
          <w:bCs/>
          <w:lang w:val="el" w:eastAsia="el"/>
        </w:rPr>
        <w:t>Το γεγονός ότι δεν προκαλείται δαπάνη σε βάρος του κρατικού προϋπολογισμού.</w:t>
      </w:r>
    </w:p>
    <w:p>
      <w:pPr>
        <w:spacing w:before="240" w:after="240"/>
        <w:rPr>
          <w:lang w:val="el" w:eastAsia="el"/>
        </w:rPr>
      </w:pPr>
      <w:r>
        <w:rPr>
          <w:b/>
          <w:bCs/>
          <w:lang w:val="el" w:eastAsia="el"/>
        </w:rPr>
        <w:t xml:space="preserve">6. </w:t>
      </w:r>
      <w:r>
        <w:rPr>
          <w:b/>
          <w:bCs/>
          <w:lang w:val="el" w:eastAsia="el"/>
        </w:rPr>
        <w:t>Το γεγονός ότι οι διατάξεις της παρούσας δεν αφορούν σε διοικητική διαδικασία για την οποία υπάρχει υποχρέωση καταχώρησης στο ΕΜΔΔ-ΜΙΤΟΣ.</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 τύπος και το περιεχόμενο της πράξης επιβολής προστίμου του άρθρου 54 του ν. 4987/2022, με την οποία επιβάλλονται κυρώσεις για την εκπρόθεσμη υποβολή δήλωσης φορολογίας εισοδήματος φυσικών προσώπων και νομικών προσώπων και νομικών οντοτήτων, απόδοσης παρακρατούμενων φόρων φορολογικών ετών 2014 και επόμενων, ή της περ. δ΄ της παρ.1 του άρθρου 18 ή της περ. γ΄ της παρ.3 του άρθρου 19 του ν. 4987/2022, κατά περίπτωση, όταν η σχετική δήλωση υποβάλλεται μετά την κοινοποίηση της εντολής ελέγχου ή της πρόσκλησης παροχής πληροφοριών του άρθρου 14 του ν. 4987/2022, έχει ως το συνημμένο ΥΠΟΔΕΙΓΜΑ Ι, το οποίο αποτελεί αναπόσπαστο μέρος της παρούσας.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 τύπος και το περιεχόμενο της πράξης επιβολής προστίμου του άρθρου 54 του ν. 4987/2022, με την οποία επιβάλλονται κυρώσεις για την εκπρόθεσμη υποβολή δήλωσης φόρου πλοίων, τέλους αλιευτικών, ρυμουλκών πλοίων και αυτοκινούμενων βυθοκόρων, προξενικών ναυτιλιακών τελών, εισφοράς επί του εισαγόμενου συναλλάγματος, φόρου μερισμάτων, καθώς και εκτάκτων αμοιβών και ποσοστών (bonus) επιπλέον των μισθών του άρθρου 43 του ν. 4111/2013 φορολογικών ετών 2014 και επόμενων ή της περ. δ΄ της παρ.1 του άρθρου 18 ή της περ. γ΄ της παρ.3 του άρθρου 19 του ν. 4987/2022, κατά περίπτωση, όταν η σχετική δήλωση υποβάλλεται μετά την κοινοποίηση της εντολής ελέγχου ή της πρόσκλησης παροχής πληροφοριών του άρθρου 14 του ν. 4987/2022, έχει ως το συνημμένο ΥΠΟΔΕΙΓΜΑ ΙΙ, το οποίο αποτελεί αναπόσπαστο μέρος της παρούσας.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 τύπος και το περιεχόμενο της πράξης επιβολής προστίμου του άρθρου 54 του ν. 4987/2022,με την οποία επιβάλλονται κυρώσεις για την εκπρόθεσμη υποβολή δήλωσης ΦΠΑ, ανακεφαλαιωτικού πίνακα ενδοκοινοτικών παραδόσεων αγαθών και παροχής υπηρεσιών, ανακεφαλαιωτικού πίνακα ενδοκοινοτικών αποκτήσεων αγαθών και λήψεων υπηρεσιών, δήλωσης αποθεμάτων μετάταξης και οποιαδήποτε άλλη δήλωσης ή γνωστοποίησης που υποβάλλεται σύμφωνα με τις διατάξεις του Κώδικα ΦΠΑ φορολογικών ετών 2014 και επόμενων, ή της περ. δ΄ της παρ.1 του άρθρου 18 ή της περ. γ΄ της παρ.3 του άρθρου 19 του ν. 4987/2022, κατά περίπτωση, όταν η σχετική δήλωση υποβάλλεται μετά την κοινοποίηση της εντολής ελέγχου ή της πρόσκλησης παροχής πληροφοριών του άρθρου 14 του ν. 4987/2022, έχει ως το συνημμένο ΥΠΟΔΕΙΓΜΑ ΙΙΙ, το οποίο αποτελεί αναπόσπαστο μέρος της παρούσας.</w:t>
      </w:r>
    </w:p>
    <w:p>
      <w:pPr>
        <w:spacing w:before="240" w:after="240"/>
        <w:rPr>
          <w:lang w:val="el" w:eastAsia="el"/>
        </w:rPr>
      </w:pPr>
      <w:r>
        <w:rPr>
          <w:b/>
          <w:bCs/>
          <w:lang w:val="el" w:eastAsia="el"/>
        </w:rPr>
        <w:t>Η παρούσα απόφαση ισχύει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u w:val="single"/>
          <w:lang w:val="el" w:eastAsia="el"/>
        </w:rPr>
        <w:t>Ι.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 πλην αριθμ. 2 και 7</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b/>
          <w:bCs/>
          <w:lang w:val="el" w:eastAsia="el"/>
        </w:rPr>
        <w:t xml:space="preserve">3. </w:t>
      </w:r>
      <w:r>
        <w:rPr>
          <w:b/>
          <w:bCs/>
          <w:lang w:val="el" w:eastAsia="el"/>
        </w:rPr>
        <w:t>Διεύθυνση Επικοινωνίας</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 xml:space="preserve">5. </w:t>
      </w:r>
      <w:r>
        <w:rPr>
          <w:b/>
          <w:bCs/>
          <w:lang w:val="el" w:eastAsia="el"/>
        </w:rPr>
        <w:t>Εθνικό Τυπογραφείο για δημοσίευση σε ΦΕΚ</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7"/>
        <w:gridCol w:w="51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μόνο οι αριθμ.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μόνο οι αριθμ. 2 και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μόνο οι αριθμ 13,19,20.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ΙΒ΄ΙΓ’,ΙΕ΄,ΙΖ, ΙΗ΄, ΙΣΤ΄, Κ΄, ΚΒ΄, ΚΓ΄</w:t>
            </w:r>
          </w:p>
        </w:tc>
      </w:tr>
    </w:tbl>
    <w:p>
      <w:pPr>
        <w:spacing w:before="240" w:after="240"/>
        <w:rPr>
          <w:lang w:val="el" w:eastAsia="el"/>
        </w:rPr>
      </w:pPr>
      <w:r>
        <w:rPr>
          <w:b/>
          <w:bCs/>
          <w:lang w:val="el" w:eastAsia="el"/>
        </w:rPr>
        <w:t xml:space="preserve">8.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9.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10. </w:t>
      </w:r>
      <w:r>
        <w:rPr>
          <w:b/>
          <w:bCs/>
          <w:lang w:val="el" w:eastAsia="el"/>
        </w:rPr>
        <w:t>Γραφείο Γεν. Γραμματέα Φορολογικής Πολιτικής</w:t>
      </w:r>
    </w:p>
    <w:p>
      <w:pPr>
        <w:spacing w:before="240" w:after="240"/>
        <w:rPr>
          <w:lang w:val="el" w:eastAsia="el"/>
        </w:rPr>
      </w:pPr>
      <w:r>
        <w:rPr>
          <w:b/>
          <w:bCs/>
          <w:lang w:val="el" w:eastAsia="el"/>
        </w:rPr>
        <w:t xml:space="preserve">11.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Διοικητού ΑΑΔΕ</w:t>
      </w:r>
    </w:p>
    <w:p>
      <w:pPr>
        <w:spacing w:before="240" w:after="240"/>
        <w:rPr>
          <w:lang w:val="el" w:eastAsia="el"/>
        </w:rPr>
      </w:pPr>
      <w:r>
        <w:rPr>
          <w:b/>
          <w:bCs/>
          <w:lang w:val="el" w:eastAsia="el"/>
        </w:rPr>
        <w:t xml:space="preserve">2. </w:t>
      </w:r>
      <w:r>
        <w:rPr>
          <w:b/>
          <w:bCs/>
          <w:lang w:val="el" w:eastAsia="el"/>
        </w:rPr>
        <w:t>Γραφείο κ. κ. Γενικών Διευθυντών</w:t>
      </w:r>
    </w:p>
    <w:p>
      <w:pPr>
        <w:spacing w:before="240" w:after="240"/>
        <w:rPr>
          <w:lang w:val="el" w:eastAsia="el"/>
        </w:rPr>
      </w:pPr>
      <w:r>
        <w:rPr>
          <w:b/>
          <w:bCs/>
          <w:lang w:val="el" w:eastAsia="el"/>
        </w:rPr>
        <w:t xml:space="preserve">3. </w:t>
      </w:r>
      <w:r>
        <w:rPr>
          <w:b/>
          <w:bCs/>
          <w:lang w:val="el" w:eastAsia="el"/>
        </w:rPr>
        <w:t>Διεύθυνση Νομικής Υποστήριξης</w:t>
      </w:r>
    </w:p>
    <w:p>
      <w:pPr>
        <w:spacing w:before="240" w:after="240"/>
        <w:rPr>
          <w:lang w:val="el" w:eastAsia="el"/>
        </w:rPr>
      </w:pPr>
      <w:r>
        <w:rPr>
          <w:b/>
          <w:bCs/>
          <w:lang w:val="el" w:eastAsia="el"/>
        </w:rPr>
        <w:t xml:space="preserve">4. </w:t>
      </w:r>
      <w:r>
        <w:rPr>
          <w:b/>
          <w:bCs/>
          <w:lang w:val="el" w:eastAsia="el"/>
        </w:rPr>
        <w:t>Διεύθυνση Εφαρμογής Άμεσης Φορολογίας</w:t>
      </w:r>
    </w:p>
    <w:p>
      <w:pPr>
        <w:spacing w:before="240" w:after="240"/>
        <w:rPr>
          <w:lang w:val="el" w:eastAsia="el"/>
        </w:rPr>
      </w:pPr>
      <w:r>
        <w:rPr>
          <w:b/>
          <w:bCs/>
          <w:lang w:val="el" w:eastAsia="el"/>
        </w:rPr>
        <w:t xml:space="preserve">5. </w:t>
      </w:r>
      <w:r>
        <w:rPr>
          <w:b/>
          <w:bCs/>
          <w:lang w:val="el" w:eastAsia="el"/>
        </w:rPr>
        <w:t>Διεύθυνση Εφαρμογής Έμμεσης Φορολογίας</w:t>
      </w:r>
    </w:p>
    <w:p>
      <w:pPr>
        <w:spacing w:before="240" w:after="240"/>
        <w:rPr>
          <w:lang w:val="el" w:eastAsia="el"/>
        </w:rPr>
      </w:pPr>
      <w:r>
        <w:rPr>
          <w:b/>
          <w:bCs/>
          <w:lang w:val="el" w:eastAsia="el"/>
        </w:rPr>
        <w:t xml:space="preserve">6. </w:t>
      </w:r>
      <w:r>
        <w:rPr>
          <w:b/>
          <w:bCs/>
          <w:lang w:val="el" w:eastAsia="el"/>
        </w:rPr>
        <w:t>Διεύθυνση Επιχειρησιακών Διαδικασιών</w:t>
      </w:r>
    </w:p>
    <w:p>
      <w:pPr>
        <w:spacing w:before="240" w:after="240"/>
        <w:rPr>
          <w:lang w:val="el" w:eastAsia="el"/>
        </w:rPr>
      </w:pPr>
      <w:r>
        <w:rPr>
          <w:b/>
          <w:bCs/>
          <w:lang w:val="el" w:eastAsia="el"/>
        </w:rPr>
        <w:t xml:space="preserve">7.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mailto:deef@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