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ΡΒΩ746ΜΠ3Ζ-ΚΚΙ</w:t>
      </w:r>
    </w:p>
    <w:p>
      <w:pPr>
        <w:pStyle w:val="PreambelText"/>
        <w:spacing w:before="240" w:after="240"/>
        <w:rPr>
          <w:lang w:val="el" w:eastAsia="el"/>
        </w:rPr>
      </w:pPr>
      <w:r>
        <w:rPr>
          <w:b/>
          <w:bCs/>
          <w:lang w:val="el" w:eastAsia="el"/>
        </w:rPr>
        <w:t>ΑΡ. ΦΕΚ: B’ 2056 / 30.04.2025</w:t>
      </w:r>
    </w:p>
    <w:p>
      <w:pPr>
        <w:pStyle w:val="PreambelText"/>
        <w:spacing w:before="240" w:after="240"/>
        <w:rPr>
          <w:lang w:val="el" w:eastAsia="el"/>
        </w:rPr>
      </w:pPr>
      <w:r>
        <w:rPr>
          <w:b/>
          <w:bCs/>
          <w:lang w:val="el" w:eastAsia="el"/>
        </w:rPr>
        <w:t>Αθήνα, 8/4/2025</w:t>
      </w:r>
    </w:p>
    <w:p>
      <w:pPr>
        <w:pStyle w:val="PreambelText"/>
        <w:spacing w:before="240" w:after="240"/>
        <w:rPr>
          <w:lang w:val="el" w:eastAsia="el"/>
        </w:rPr>
      </w:pPr>
      <w:r>
        <w:rPr>
          <w:b/>
          <w:bCs/>
          <w:lang w:val="el" w:eastAsia="el"/>
        </w:rPr>
        <w:t>Α. 1056</w:t>
      </w:r>
    </w:p>
    <w:p>
      <w:pPr>
        <w:pStyle w:val="PreambelText"/>
        <w:spacing w:before="240" w:after="240"/>
        <w:rPr>
          <w:lang w:val="el" w:eastAsia="el"/>
        </w:rPr>
      </w:pPr>
      <w:r>
        <w:rPr>
          <w:b/>
          <w:bCs/>
          <w:lang w:val="el" w:eastAsia="el"/>
        </w:rPr>
        <w:t>2.ΑΝΕΞΑΡΤΗΤΗ ΑΡΧΗ ΔΗΜΟΣΙΩΝ ΕΣΟΔΩΝ</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b/>
          <w:bCs/>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Δ/ΝΣΗ ΔΙΕΘΝΩΝ ΦΟΡΟΛΟΓΙΚΩΝ ΣΧΕΣΕΩΝ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 ΔΙΕΘΝΟΥΣ ΔΙΟΙΚΗΤΙΚΗΣ ΣΥΝΕΡΓΑΣΙΑΣ ΣΤΟΝ ΤΟΜΕΑ ΤΗΣ ΦΟΡΟΛΟΓΙΑΣ</w:t>
      </w:r>
    </w:p>
    <w:p>
      <w:pPr>
        <w:spacing w:before="240" w:after="240"/>
        <w:rPr>
          <w:lang w:val="el" w:eastAsia="el"/>
        </w:rPr>
      </w:pPr>
      <w:r>
        <w:rPr>
          <w:b/>
          <w:bCs/>
          <w:lang w:val="el" w:eastAsia="el"/>
        </w:rPr>
        <w:t>Ταχ. Δ/νση : Πειραιώς 180, 177 78 Αθήνα</w:t>
      </w:r>
    </w:p>
    <w:p>
      <w:pPr>
        <w:spacing w:before="240" w:after="240"/>
        <w:rPr>
          <w:lang w:val="el" w:eastAsia="el"/>
        </w:rPr>
      </w:pPr>
      <w:r>
        <w:rPr>
          <w:b/>
          <w:bCs/>
          <w:lang w:val="el" w:eastAsia="el"/>
        </w:rPr>
        <w:t>Τηλέφωνο : 2131410247</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dos.c@aade.gr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της παρ. 1 του άρθρου όγδοου του Μέρους Δεύτερου του ν. 4490/2017 (Α΄ 150), για στοιχεία του φορολογικού έτους 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πρώτου εδαφίου της παρ. 1 του άρθρου όγδοου του Μέρους Δεύτερου του ν. 4490/2017 «Κύρωση της Πολυμερούς Συμφωνίας Αρμόδιων Αρχών για την Ανταλλαγή Εκθέσεων ανά Χώρα, διατάξεις εφαρμογής και λοιπές διατάξεις» (εφεξής ΠΣΑΑ) (Α΄150), β) των παρ 1, 2 και 3 του Τμήματος 8 της ΠΣΑΑ, όπως κυρώθηκε με το άρθρο πρώτο του Μέρους Πρώτου του ν. 4490/2017, γ) των παρ. 3 και 6 του άρθρου 28 και της παρ. 1 του άρθρου 32 της Σύμβασης του Συμβουλίου της Ευρώπης και του ΟΟΣΑ σχετικά με την Αμοιβαία Διοικητική Συνδρομή σε φορολογικά θέματα (εφεξής Σύμβαση) σε συνδυασμό με τις διατάξεις του άρθρου 6 της ίδιας Σύμβασης, όπως τροποποιήθηκε με το από 2010 Πρωτόκολλο Τροποποίησής της και κυρώθηκε με το άρθρο πρώτο του ν. 4153/2013 «Κύρωση της Σύμβασης του Συμβουλίου της</w:t>
      </w:r>
    </w:p>
    <w:p>
      <w:pPr>
        <w:spacing w:before="240" w:after="240"/>
        <w:rPr>
          <w:lang w:val="el" w:eastAsia="el"/>
        </w:rPr>
      </w:pPr>
      <w:r>
        <w:rPr>
          <w:b/>
          <w:bCs/>
          <w:lang w:val="el" w:eastAsia="el"/>
        </w:rPr>
        <w:t>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 116), δ)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ιδίως του άρθρου 14 αυτού, ε)</w:t>
      </w:r>
    </w:p>
    <w:p>
      <w:pPr>
        <w:spacing w:before="240" w:after="240"/>
        <w:rPr>
          <w:lang w:val="el" w:eastAsia="el"/>
        </w:rPr>
      </w:pPr>
      <w:r>
        <w:rPr>
          <w:lang w:val="el" w:eastAsia="el"/>
        </w:rPr>
        <w:t xml:space="preserve">2. </w:t>
      </w:r>
      <w:r>
        <w:rPr>
          <w:b/>
          <w:bCs/>
          <w:lang w:val="el" w:eastAsia="el"/>
        </w:rPr>
        <w:t>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 xml:space="preserve">3. </w:t>
      </w:r>
      <w:r>
        <w:rPr>
          <w:b/>
          <w:bCs/>
          <w:lang w:val="el" w:eastAsia="el"/>
        </w:rPr>
        <w:t>Το π.δ. 82/2023 «Μετονομασία Υπουργείου- Σύσταση και μετονομασία Γενικών Γραμματειών – Μεταφορά αρμοδιοτήτων, υπηρεσιακών μονάδων και θέσεων προσωπικού- Τροποποίηση και συμπλήρωση του π.δ. 77/2023 (A΄130)- Μεταβατικές διατάξεις» (Α’ 139).</w:t>
      </w:r>
    </w:p>
    <w:p>
      <w:pPr>
        <w:spacing w:before="240" w:after="240"/>
        <w:rPr>
          <w:lang w:val="el" w:eastAsia="el"/>
        </w:rPr>
      </w:pPr>
      <w:r>
        <w:rPr>
          <w:lang w:val="el" w:eastAsia="el"/>
        </w:rPr>
        <w:t xml:space="preserve">4. </w:t>
      </w:r>
      <w:r>
        <w:rPr>
          <w:b/>
          <w:bCs/>
          <w:lang w:val="el" w:eastAsia="el"/>
        </w:rPr>
        <w:t>Το π.δ. 27/2025 «Διορισμός Υπουργών, Αναπληρωτή Υπουργού, Υφυπουργών και Αντιπροέδρου της Κυβέρνησης» (Α’ 44).</w:t>
      </w:r>
    </w:p>
    <w:p>
      <w:pPr>
        <w:spacing w:before="240" w:after="240"/>
        <w:rPr>
          <w:lang w:val="el" w:eastAsia="el"/>
        </w:rPr>
      </w:pPr>
      <w:r>
        <w:rPr>
          <w:lang w:val="el" w:eastAsia="el"/>
        </w:rPr>
        <w:t xml:space="preserve">5. </w:t>
      </w:r>
      <w:r>
        <w:rPr>
          <w:b/>
          <w:bCs/>
          <w:lang w:val="el" w:eastAsia="el"/>
        </w:rPr>
        <w:t>Την υπό στοιχεία 47542 ΕΞ 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6.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7. </w:t>
      </w:r>
      <w:r>
        <w:rPr>
          <w:b/>
          <w:bCs/>
          <w:lang w:val="el" w:eastAsia="el"/>
        </w:rPr>
        <w:t>Την υπό στοιχεία Δ. ΟΡΓ. Α 1125859 ΕΞ 2020/23-10-2020 (Β’ 4738) απόφαση του Διοικητή της ΑΑΔΕ «Οργανισμός της Ανεξάρτητης Αρχής Δημοσίων Εσόδων (Α.Α.Δ.Ε.)»</w:t>
      </w:r>
    </w:p>
    <w:p>
      <w:pPr>
        <w:spacing w:before="240" w:after="240"/>
        <w:rPr>
          <w:lang w:val="el" w:eastAsia="el"/>
        </w:rPr>
      </w:pPr>
      <w:r>
        <w:rPr>
          <w:lang w:val="el" w:eastAsia="el"/>
        </w:rPr>
        <w:t xml:space="preserve">8.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απόφαση υπ΄ αρ. 39/3/30.11.2017 (Υ.Ο.Δ.Δ. 689) του Συμβουλίου Διοίκησης της ΑΑΔΕ και τις αποφάσεις υπ΄ αρ. 5294 ΕΞ 2020/17.1.2020 (Υ.Ο.Δ.Δ. 27) του Υπουργού Οικονομικών και 7608 ΕΞ 2025/17.1.2025 (Υ.Ο.Δ.Δ. 11)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Τις υπό στοιχεία ΠΟΛ 1111/2018 (Β’ 2265), Α 1117/2019 (Β’ 1297), Α 1124/2020 (Β’ 2328), A 1092/2021 (Β’ 1723), A 1051/2022 (Β’ 2106), A 1043/2023 (Β’ 2212), Α 1083/2024 (Β’ 3036) υπουργικές Αποφάσεις για τον καθορισμό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για στοιχεία φορολογικών ετών 2016-2022.</w:t>
      </w:r>
    </w:p>
    <w:p>
      <w:pPr>
        <w:spacing w:before="240" w:after="240"/>
        <w:rPr>
          <w:lang w:val="el" w:eastAsia="el"/>
        </w:rPr>
      </w:pPr>
      <w:r>
        <w:rPr>
          <w:lang w:val="el" w:eastAsia="el"/>
        </w:rPr>
        <w:t xml:space="preserve">10. </w:t>
      </w:r>
      <w:r>
        <w:rPr>
          <w:b/>
          <w:bCs/>
          <w:lang w:val="el" w:eastAsia="el"/>
        </w:rPr>
        <w:t>Την από 29.06.2017 γνωστοποίηση της Ελληνικής Δημοκρατίας βάσει της υποπερ. β) της περ. ε΄ της παρ. 1 του Τμήματος 8 της ΠΣΑΑ προς τη Γραμματεία Συντονιστικού Οργάνου της Σύμβασης, σχετικά με τη Δήλωση από την Αρμόδια Αρχή της Ελληνικής Δημοκρατίας ότι προτίθεται να θέσει σε ισχύ και εφαρμογή την ΠΣΑΑ με όλες τις άλλες Αρμόδιες Αρχές, οι οποίες υποβάλλουν τη γνωστοποίηση σύμφωνα με την περ. ε΄ της παρ. 1 του Τμήματος 8 αυτής.</w:t>
      </w:r>
    </w:p>
    <w:p>
      <w:pPr>
        <w:spacing w:before="240" w:after="240"/>
        <w:rPr>
          <w:lang w:val="el" w:eastAsia="el"/>
        </w:rPr>
      </w:pPr>
      <w:r>
        <w:rPr>
          <w:lang w:val="el" w:eastAsia="el"/>
        </w:rPr>
        <w:t xml:space="preserve">11. </w:t>
      </w:r>
      <w:r>
        <w:rPr>
          <w:b/>
          <w:bCs/>
          <w:lang w:val="el" w:eastAsia="el"/>
        </w:rPr>
        <w:t>Τις γνωστοποιήσεις της παρ. 1 του Τμήματος 8 της ΠΣΑΑ, όπως έχουν υποβληθεί στη Γραμματεία Συντονιστικού Οργάνου της Σύμβασης από τις άλλες δικαιοδοσίες με τις οποίες η ΠΣΑΑ έχει τεθεί σε ισχύ και εφαρμογή έναντι της Ελλάδας.</w:t>
      </w:r>
    </w:p>
    <w:p>
      <w:pPr>
        <w:spacing w:before="240" w:after="240"/>
        <w:rPr>
          <w:lang w:val="el" w:eastAsia="el"/>
        </w:rPr>
      </w:pPr>
      <w:r>
        <w:rPr>
          <w:lang w:val="el" w:eastAsia="el"/>
        </w:rPr>
        <w:t xml:space="preserve">12. </w:t>
      </w:r>
      <w:r>
        <w:rPr>
          <w:b/>
          <w:bCs/>
          <w:lang w:val="el" w:eastAsia="el"/>
        </w:rPr>
        <w:t xml:space="preserve">Τους κάτωθι δημοσιευμένους καταλόγους, όπως αυτοί επικαιροποιούνται και ισχύουν: α) του ΟΟΣΑ σχετικά με τις Δικαιοδοσίες που έχουν υπογράψει την ΠΣΑΑ (ημ/νία τελευταίας ενημέρωσης καταλόγου: 17 Μαρτίου 2025) </w:t>
      </w:r>
      <w:hyperlink r:id="rId6" w:history="1">
        <w:r>
          <w:rPr>
            <w:rStyle w:val="Hyperlink"/>
            <w:b/>
            <w:bCs/>
            <w:color w:val="0000EE"/>
            <w:u w:color="0000EE"/>
            <w:lang w:val="el" w:eastAsia="el"/>
          </w:rPr>
          <w:t>https://www.oecd.org/content/dam/oecd/en/topics/policy-issues/tax-transparency-and-</w:t>
        </w:r>
      </w:hyperlink>
      <w:hyperlink r:id="rId7" w:history="1">
        <w:r>
          <w:rPr>
            <w:rStyle w:val="Hyperlink"/>
            <w:b/>
            <w:bCs/>
            <w:color w:val="0000EE"/>
            <w:u w:color="0000EE"/>
            <w:lang w:val="el" w:eastAsia="el"/>
          </w:rPr>
          <w:t>international-co-operation/cbc-mcaa-signatories.pdf</w:t>
        </w:r>
      </w:hyperlink>
      <w:r>
        <w:rPr>
          <w:b/>
          <w:bCs/>
          <w:u w:val="single"/>
          <w:lang w:val="el" w:eastAsia="el"/>
        </w:rPr>
        <w:t xml:space="preserve">, β) του ΟΟΣΑ σχετικά με τις Δικαιοδοσίες της ΠΣΑΑ με ενεργοποιημένες σχέσεις ανταλλαγής των Εκθέσεων ανά Χώρα (ΕαΧ) (ημ/νία τελευταίας ενημέρωσης καταλόγου: 5 Μαρτίου 2025) </w:t>
      </w:r>
      <w:hyperlink r:id="rId8" w:history="1">
        <w:r>
          <w:rPr>
            <w:rStyle w:val="Hyperlink"/>
            <w:b/>
            <w:bCs/>
            <w:color w:val="0000EE"/>
            <w:u w:color="0000EE"/>
            <w:lang w:val="el" w:eastAsia="el"/>
          </w:rPr>
          <w:t>https://web-archive.oecd.org/temp/2024-04-30/437036-country-by-country-exchange-</w:t>
        </w:r>
      </w:hyperlink>
      <w:hyperlink r:id="rId9" w:history="1">
        <w:r>
          <w:rPr>
            <w:rStyle w:val="Hyperlink"/>
            <w:b/>
            <w:bCs/>
            <w:color w:val="0000EE"/>
            <w:u w:color="0000EE"/>
            <w:lang w:val="el" w:eastAsia="el"/>
          </w:rPr>
          <w:t>relationships.htm</w:t>
        </w:r>
      </w:hyperlink>
      <w:r>
        <w:rPr>
          <w:b/>
          <w:bCs/>
          <w:u w:val="single"/>
          <w:lang w:val="el" w:eastAsia="el"/>
        </w:rPr>
        <w:t>,</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Συμβουλίου της Ευρώπης και του ΟΟΣΑ σχετικά με τις συμμετέχουσες Δικαιοδοσίες στη Σύμβαση (ημ/νία τελευταίας ενημέρωσης καταλόγου: 7 Ιανουαρίου 2025)</w:t>
      </w:r>
    </w:p>
    <w:p>
      <w:pPr>
        <w:spacing w:before="240" w:after="240"/>
        <w:rPr>
          <w:lang w:val="el" w:eastAsia="el"/>
        </w:rPr>
      </w:pPr>
      <w:hyperlink r:id="rId10" w:history="1">
        <w:r>
          <w:rPr>
            <w:rStyle w:val="Hyperlink"/>
            <w:b/>
            <w:bCs/>
            <w:color w:val="0000EE"/>
            <w:u w:color="0000EE"/>
            <w:lang w:val="el" w:eastAsia="el"/>
          </w:rPr>
          <w:t>https://www.oecd.org/content/dam/oecd/en/topics/policy-sub-issues/convention-on-mutual-</w:t>
        </w:r>
      </w:hyperlink>
      <w:hyperlink r:id="rId11" w:history="1">
        <w:r>
          <w:rPr>
            <w:rStyle w:val="Hyperlink"/>
            <w:b/>
            <w:bCs/>
            <w:color w:val="0000EE"/>
            <w:u w:color="0000EE"/>
            <w:lang w:val="el" w:eastAsia="el"/>
          </w:rPr>
          <w:t>administrative-assistance-in-tax-matters/status_of_convention.pdf/_jcr_content/renditions/</w:t>
        </w:r>
      </w:hyperlink>
      <w:hyperlink r:id="rId12" w:history="1">
        <w:r>
          <w:rPr>
            <w:rStyle w:val="Hyperlink"/>
            <w:b/>
            <w:bCs/>
            <w:color w:val="0000EE"/>
            <w:u w:color="0000EE"/>
            <w:lang w:val="el" w:eastAsia="el"/>
          </w:rPr>
          <w:t>original./status_of_convention.pdf</w:t>
        </w:r>
      </w:hyperlink>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Συμβουλίου της Ευρώπης και του ΟΟΣΑ σχετικά με τις Δηλώσεις των Δικαιοδοσιών επί της Σύμβασης</w:t>
      </w:r>
    </w:p>
    <w:p>
      <w:pPr>
        <w:spacing w:before="240" w:after="240"/>
        <w:rPr>
          <w:lang w:val="el" w:eastAsia="el"/>
        </w:rPr>
      </w:pPr>
      <w:hyperlink r:id="rId13" w:history="1">
        <w:r>
          <w:rPr>
            <w:rStyle w:val="Hyperlink"/>
            <w:b/>
            <w:bCs/>
            <w:color w:val="0000EE"/>
            <w:u w:color="0000EE"/>
            <w:lang w:val="el" w:eastAsia="el"/>
          </w:rPr>
          <w:t>https://www.coe.int/en/web/conventions/full-list?module=declarations-by-</w:t>
        </w:r>
      </w:hyperlink>
      <w:hyperlink r:id="rId14" w:history="1">
        <w:r>
          <w:rPr>
            <w:rStyle w:val="Hyperlink"/>
            <w:b/>
            <w:bCs/>
            <w:color w:val="0000EE"/>
            <w:u w:color="0000EE"/>
            <w:lang w:val="el" w:eastAsia="el"/>
          </w:rPr>
          <w:t>treaty&amp;numSte=127&amp;codeNature=0</w:t>
        </w:r>
      </w:hyperlink>
    </w:p>
    <w:p>
      <w:pPr>
        <w:spacing w:before="240" w:after="240"/>
        <w:rPr>
          <w:lang w:val="el" w:eastAsia="el"/>
        </w:rPr>
      </w:pPr>
      <w:r>
        <w:rPr>
          <w:u w:val="single"/>
          <w:lang w:val="el" w:eastAsia="el"/>
        </w:rPr>
        <w:t xml:space="preserve">13. </w:t>
      </w:r>
      <w:r>
        <w:rPr>
          <w:b/>
          <w:bCs/>
          <w:u w:val="single"/>
          <w:lang w:val="el" w:eastAsia="el"/>
        </w:rPr>
        <w:t>Τη διασφάλιση των όρων της αμοιβαιότητας για την ανταλλαγή των ΕαΧ.</w:t>
      </w:r>
    </w:p>
    <w:p>
      <w:pPr>
        <w:spacing w:before="240" w:after="240"/>
        <w:rPr>
          <w:lang w:val="el" w:eastAsia="el"/>
        </w:rPr>
      </w:pPr>
      <w:r>
        <w:rPr>
          <w:u w:val="single"/>
          <w:lang w:val="el" w:eastAsia="el"/>
        </w:rPr>
        <w:t xml:space="preserve">14. </w:t>
      </w:r>
      <w:r>
        <w:rPr>
          <w:b/>
          <w:bCs/>
          <w:u w:val="single"/>
          <w:lang w:val="el" w:eastAsia="el"/>
        </w:rPr>
        <w:t>Την εισήγηση της Διεύθυνσης Διεθνών Φορολογικών Σχέσεων της Γενικής Διεύθυνσης Φορολογίας της ΑΑΔΕ ως Αρμόδιας Αρχής δυνάμει της περ. ια΄ της παρ. 1 του άρθρου δεύτερου του ν. 4490/2017.</w:t>
      </w:r>
    </w:p>
    <w:p>
      <w:pPr>
        <w:spacing w:before="240" w:after="240"/>
        <w:rPr>
          <w:lang w:val="el" w:eastAsia="el"/>
        </w:rPr>
      </w:pPr>
      <w:r>
        <w:rPr>
          <w:u w:val="single"/>
          <w:lang w:val="el" w:eastAsia="el"/>
        </w:rPr>
        <w:t xml:space="preserve">15. </w:t>
      </w:r>
      <w:r>
        <w:rPr>
          <w:b/>
          <w:bCs/>
          <w:u w:val="single"/>
          <w:lang w:val="el" w:eastAsia="el"/>
        </w:rPr>
        <w:t>Την ανάγκη ρύθμισης όλων των σχετικών θεμάτων προκειμένου να εφαρμοστεί ομαλά και απρόσκοπτα το πλαίσιο της αυτόματης ανταλλαγής των ΕαΧ.</w:t>
      </w:r>
    </w:p>
    <w:p>
      <w:pPr>
        <w:spacing w:before="240" w:after="240"/>
        <w:rPr>
          <w:lang w:val="el" w:eastAsia="el"/>
        </w:rPr>
      </w:pPr>
      <w:r>
        <w:rPr>
          <w:u w:val="single"/>
          <w:lang w:val="el" w:eastAsia="el"/>
        </w:rPr>
        <w:t xml:space="preserve">16. </w:t>
      </w:r>
      <w:r>
        <w:rPr>
          <w:b/>
          <w:bCs/>
          <w:u w:val="single"/>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u w:val="single"/>
          <w:lang w:val="el" w:eastAsia="el"/>
        </w:rPr>
        <w:t xml:space="preserve">17.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Κατάλογος Δικαιοδοσιών με τις οποίες τίθεται σε ισχύ και εφαρμογή η ΠΣΑΑ</w:t>
      </w:r>
    </w:p>
    <w:p>
      <w:pPr>
        <w:spacing w:before="240" w:after="240"/>
        <w:rPr>
          <w:lang w:val="el" w:eastAsia="el"/>
        </w:rPr>
      </w:pPr>
      <w:r>
        <w:rPr>
          <w:b/>
          <w:bCs/>
          <w:u w:val="single"/>
          <w:lang w:val="el" w:eastAsia="el"/>
        </w:rPr>
        <w:t>Ορίζεται ο κατάλογος των Δικαιοδοσιών με τις οποίες τίθεται σε ισχύ και εφαρμογή η ΠΣΑΑ για την ανταλλαγή των ΕαΧ, αναφορικά με το φορολογικό έτος 2023, ως προς το έτος ανταλλαγής 2025:</w:t>
      </w:r>
    </w:p>
    <w:p>
      <w:pPr>
        <w:spacing w:before="240" w:after="240"/>
        <w:rPr>
          <w:lang w:val="el" w:eastAsia="el"/>
        </w:rPr>
      </w:pPr>
      <w:r>
        <w:rPr>
          <w:b/>
          <w:bCs/>
          <w:u w:val="single"/>
          <w:lang w:val="el" w:eastAsia="el"/>
        </w:rPr>
        <w:t xml:space="preserve">A. </w:t>
      </w:r>
    </w:p>
    <w:p>
      <w:pPr>
        <w:spacing w:before="240" w:after="240"/>
        <w:rPr>
          <w:lang w:val="el" w:eastAsia="el"/>
        </w:rPr>
      </w:pPr>
      <w:r>
        <w:rPr>
          <w:b/>
          <w:bCs/>
          <w:u w:val="single"/>
          <w:lang w:val="el" w:eastAsia="el"/>
        </w:rPr>
        <w:t>ΠΙΝΑΚΑΣ ΔΙΚΑΙΟΔΟΣΙΩΝ ΜΕ ΤΙΣ ΟΠΟΙΕΣ Η ΕΛΛΑΔΑ ΕΦΑΡΜΟΖΕΙ ΑΜΟΙΒΑΙΑ ΣΧΕΣΗΑΝΤΑΛΛΑΓΗΣ ΕΚΘΕΣΕΩΝ ΑΝΑ ΧΩΡΑ ΩΣ ΠΡΟΣ ΤΟ ΕΤΟΣ ΑΝΤΑΛΛΑΓΗΣ 2025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
        <w:gridCol w:w="2175"/>
        <w:gridCol w:w="2073"/>
        <w:gridCol w:w="2368"/>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Μαρίνος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San Marino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Αγίου Μαρίνου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Ανδόρα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Andorra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Πριγκιπάτο της Ανδόρας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Δομινικανή Δημοκρατία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Dominican Republic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Δομινικανή Δημοκρατία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Ελβετική 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Ηνωμένο Βασίλειο της Μεγάλης Βρετανίας και της Βόρειας 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Kenya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Κένυας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Curacao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319"/>
        <w:gridCol w:w="1996"/>
        <w:gridCol w:w="2684"/>
        <w:gridCol w:w="1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Maldives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Monaco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Πριγκιπάτο του 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Μπαρμπέιντος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Μπαρμπέιντος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Μπελίζ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Κάτω Χώρες (σχετικά με τις νήσους Μποναίρ,</w:t>
            </w:r>
          </w:p>
          <w:p>
            <w:pPr>
              <w:spacing w:before="240"/>
              <w:rPr>
                <w:b w:val="0"/>
                <w:bCs w:val="0"/>
                <w:i w:val="0"/>
                <w:iCs w:val="0"/>
                <w:smallCaps w:val="0"/>
                <w:color w:val="000000"/>
                <w:lang w:val="el" w:eastAsia="el"/>
              </w:rPr>
            </w:pPr>
            <w:r>
              <w:rPr>
                <w:b/>
                <w:bCs/>
                <w:i w:val="0"/>
                <w:iCs w:val="0"/>
                <w:smallCaps w:val="0"/>
                <w:color w:val="000000"/>
                <w:lang w:val="el" w:eastAsia="el"/>
              </w:rPr>
              <w:t>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Netherlands</w:t>
            </w:r>
          </w:p>
          <w:p>
            <w:pPr>
              <w:spacing w:before="240" w:after="240"/>
              <w:rPr>
                <w:b w:val="0"/>
                <w:bCs w:val="0"/>
                <w:i w:val="0"/>
                <w:iCs w:val="0"/>
                <w:smallCaps w:val="0"/>
                <w:color w:val="000000"/>
                <w:lang w:val="el" w:eastAsia="el"/>
              </w:rPr>
            </w:pPr>
            <w:r>
              <w:rPr>
                <w:b/>
                <w:bCs/>
                <w:i w:val="0"/>
                <w:iCs w:val="0"/>
                <w:smallCaps w:val="0"/>
                <w:color w:val="000000"/>
                <w:lang w:val="el" w:eastAsia="el"/>
              </w:rPr>
              <w:t>(in respect to BQ ISO code territories: the islands of Bonaire,</w:t>
            </w:r>
          </w:p>
          <w:p>
            <w:pPr>
              <w:spacing w:before="240"/>
              <w:rPr>
                <w:b w:val="0"/>
                <w:bCs w:val="0"/>
                <w:i w:val="0"/>
                <w:iCs w:val="0"/>
                <w:smallCaps w:val="0"/>
                <w:color w:val="000000"/>
                <w:lang w:val="el" w:eastAsia="el"/>
              </w:rPr>
            </w:pPr>
            <w:r>
              <w:rPr>
                <w:b/>
                <w:bCs/>
                <w:i w:val="0"/>
                <w:iCs w:val="0"/>
                <w:smallCaps w:val="0"/>
                <w:color w:val="000000"/>
                <w:lang w:val="el" w:eastAsia="el"/>
              </w:rPr>
              <w:t>Sint Eustatius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NL</w:t>
            </w:r>
          </w:p>
          <w:p>
            <w:pPr>
              <w:spacing w:before="240" w:after="240"/>
              <w:rPr>
                <w:b w:val="0"/>
                <w:bCs w:val="0"/>
                <w:i w:val="0"/>
                <w:iCs w:val="0"/>
                <w:smallCaps w:val="0"/>
                <w:color w:val="000000"/>
                <w:lang w:val="el" w:eastAsia="el"/>
              </w:rPr>
            </w:pPr>
            <w:r>
              <w:rPr>
                <w:b/>
                <w:bCs/>
                <w:i w:val="0"/>
                <w:iCs w:val="0"/>
                <w:smallCaps w:val="0"/>
                <w:color w:val="000000"/>
                <w:lang w:val="el" w:eastAsia="el"/>
              </w:rPr>
              <w:t>(νήσοι Μποναίρ</w:t>
            </w:r>
          </w:p>
          <w:p>
            <w:pPr>
              <w:spacing w:before="240" w:after="240"/>
              <w:rPr>
                <w:b w:val="0"/>
                <w:bCs w:val="0"/>
                <w:i w:val="0"/>
                <w:iCs w:val="0"/>
                <w:smallCaps w:val="0"/>
                <w:color w:val="000000"/>
                <w:lang w:val="el" w:eastAsia="el"/>
              </w:rPr>
            </w:pPr>
            <w:r>
              <w:rPr>
                <w:b/>
                <w:bCs/>
                <w:i w:val="0"/>
                <w:iCs w:val="0"/>
                <w:smallCaps w:val="0"/>
                <w:color w:val="000000"/>
                <w:lang w:val="el" w:eastAsia="el"/>
              </w:rPr>
              <w:t>Άγιος</w:t>
            </w:r>
          </w:p>
          <w:p>
            <w:pPr>
              <w:spacing w:before="240"/>
              <w:rPr>
                <w:b w:val="0"/>
                <w:bCs w:val="0"/>
                <w:i w:val="0"/>
                <w:iCs w:val="0"/>
                <w:smallCaps w:val="0"/>
                <w:color w:val="000000"/>
                <w:lang w:val="el" w:eastAsia="el"/>
              </w:rPr>
            </w:pPr>
            <w:r>
              <w:rPr>
                <w:b/>
                <w:bCs/>
                <w:i w:val="0"/>
                <w:iCs w:val="0"/>
                <w:smallCaps w:val="0"/>
                <w:color w:val="000000"/>
                <w:lang w:val="el" w:eastAsia="el"/>
              </w:rPr>
              <w:t>Ευστάθιος και Σάμπα με κωδικό 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Ομοσπονδιακή</w:t>
            </w:r>
          </w:p>
          <w:p>
            <w:pPr>
              <w:spacing w:before="240"/>
              <w:rPr>
                <w:b w:val="0"/>
                <w:bCs w:val="0"/>
                <w:i w:val="0"/>
                <w:iCs w:val="0"/>
                <w:smallCaps w:val="0"/>
                <w:color w:val="000000"/>
                <w:lang w:val="el" w:eastAsia="el"/>
              </w:rPr>
            </w:pPr>
            <w:r>
              <w:rPr>
                <w:b/>
                <w:bCs/>
                <w:i w:val="0"/>
                <w:iCs w:val="0"/>
                <w:smallCaps w:val="0"/>
                <w:color w:val="000000"/>
                <w:lang w:val="el" w:eastAsia="el"/>
              </w:rPr>
              <w:t>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Ανατολική</w:t>
            </w:r>
          </w:p>
          <w:p>
            <w:pPr>
              <w:spacing w:before="240"/>
              <w:rPr>
                <w:b w:val="0"/>
                <w:bCs w:val="0"/>
                <w:i w:val="0"/>
                <w:iCs w:val="0"/>
                <w:smallCaps w:val="0"/>
                <w:color w:val="000000"/>
                <w:lang w:val="el" w:eastAsia="el"/>
              </w:rPr>
            </w:pPr>
            <w:r>
              <w:rPr>
                <w:b/>
                <w:bCs/>
                <w:i w:val="0"/>
                <w:iCs w:val="0"/>
                <w:smallCaps w:val="0"/>
                <w:color w:val="000000"/>
                <w:lang w:val="el" w:eastAsia="el"/>
              </w:rPr>
              <w:t>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Σαουδικής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ςSA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της Ταϊλάνδης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Türkiye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Φερόες Νησοι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Χονγκ Κονγκ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Hong Kong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HK</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943"/>
        <w:gridCol w:w="1780"/>
        <w:gridCol w:w="2718"/>
        <w:gridCol w:w="217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ΑΠΟ ΤΙΣ ΟΠΟΙΕΣ Η ΕΛΛΑΔΑ ΛΑΜΒΑΝΕΙ (ΜΗ ΑΜΟΙΒΑΙΑ ΣΧΕΣΗ ΑΝΤΑΛΛΑΓΗΣ) ΕΚΘΕΣΕΙΣ ΑΝΑ ΧΩΡΑ ΩΣ ΠΡΟΣ ΤΟ ΕΤΟΣ ΑΝΤΑΛΛΑΓΗΣ 2025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Anquilla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Vietnam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Σοσιαλιστική Δημοκρατία του Βιετνάμ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Macau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Ειδική Διοικητική Περιοχή Μακάο της Λαϊκής</w:t>
            </w:r>
          </w:p>
          <w:p>
            <w:pPr>
              <w:spacing w:before="240"/>
              <w:rPr>
                <w:b w:val="0"/>
                <w:bCs w:val="0"/>
                <w:i w:val="0"/>
                <w:iCs w:val="0"/>
                <w:smallCaps w:val="0"/>
                <w:color w:val="000000"/>
                <w:lang w:val="el" w:eastAsia="el"/>
              </w:rPr>
            </w:pPr>
            <w:r>
              <w:rPr>
                <w:b/>
                <w:bCs/>
                <w:i w:val="0"/>
                <w:iCs w:val="0"/>
                <w:smallCaps w:val="0"/>
                <w:color w:val="000000"/>
                <w:lang w:val="el" w:eastAsia="el"/>
              </w:rPr>
              <w:t>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Κέιμαν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Παπούα-Νέα Γουινέα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Papua New Guinea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Ανεξάρτητο Κράτος Της Παπούας Νέας Γουινέας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Serbia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Σερβίας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Tunisia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Δημοκρατία της Τυνησίας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TN</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w:t>
      </w:r>
    </w:p>
    <w:p>
      <w:pPr>
        <w:spacing w:before="240" w:after="240"/>
        <w:rPr>
          <w:lang w:val="el" w:eastAsia="el"/>
        </w:rPr>
      </w:pPr>
      <w:r>
        <w:rPr>
          <w:b/>
          <w:bCs/>
          <w:u w:val="single"/>
          <w:lang w:val="el" w:eastAsia="el"/>
        </w:rPr>
        <w:t>ΚΥΡΙΑΚΟΣ ΠΙΕΡΡΑΚΑΚΗΣ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 xml:space="preserve">1. </w:t>
      </w:r>
      <w:r>
        <w:rPr>
          <w:b/>
          <w:bCs/>
          <w:u w:val="single"/>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 xml:space="preserve">2. </w:t>
      </w:r>
      <w:r>
        <w:rPr>
          <w:b/>
          <w:bCs/>
          <w:u w:val="single"/>
          <w:lang w:val="el" w:eastAsia="el"/>
        </w:rPr>
        <w:t>Γραφείο κ. 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Γραφείο κ. Υφυπουργού Εθνικής Οικονομίας και Οικονομικών</w:t>
      </w:r>
    </w:p>
    <w:p>
      <w:pPr>
        <w:spacing w:before="240" w:after="240"/>
        <w:rPr>
          <w:lang w:val="el" w:eastAsia="el"/>
        </w:rPr>
      </w:pPr>
      <w:r>
        <w:rPr>
          <w:u w:val="single"/>
          <w:lang w:val="el" w:eastAsia="el"/>
        </w:rPr>
        <w:t xml:space="preserve">4. </w:t>
      </w:r>
      <w:r>
        <w:rPr>
          <w:b/>
          <w:bCs/>
          <w:u w:val="single"/>
          <w:lang w:val="el" w:eastAsia="el"/>
        </w:rPr>
        <w:t>Γραφείο κας Γεν.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Γραφείο Πρ. Γενικής Δ/νσης Φορολογίας ΑΑΔΕ</w:t>
      </w:r>
    </w:p>
    <w:p>
      <w:pPr>
        <w:spacing w:before="240" w:after="240"/>
        <w:rPr>
          <w:lang w:val="el" w:eastAsia="el"/>
        </w:rPr>
      </w:pPr>
      <w:r>
        <w:rPr>
          <w:u w:val="single"/>
          <w:lang w:val="el" w:eastAsia="el"/>
        </w:rPr>
        <w:t xml:space="preserve">3. </w:t>
      </w:r>
      <w:r>
        <w:rPr>
          <w:b/>
          <w:bCs/>
          <w:u w:val="single"/>
          <w:lang w:val="el" w:eastAsia="el"/>
        </w:rPr>
        <w:t>Γραφείο Πρ. Γενικής Δ/νσης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Γραφείο Πρ. Γενικής Δ/νσης Φορολογικών Λειτουργιών ΑΑΔΕ</w:t>
      </w:r>
    </w:p>
    <w:p>
      <w:pPr>
        <w:spacing w:before="240" w:after="240"/>
        <w:rPr>
          <w:lang w:val="el" w:eastAsia="el"/>
        </w:rPr>
      </w:pPr>
      <w:r>
        <w:rPr>
          <w:u w:val="single"/>
          <w:lang w:val="el" w:eastAsia="el"/>
        </w:rPr>
        <w:t xml:space="preserve">5.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6. </w:t>
      </w:r>
      <w:r>
        <w:rPr>
          <w:b/>
          <w:bCs/>
          <w:u w:val="single"/>
          <w:lang w:val="el" w:eastAsia="el"/>
        </w:rPr>
        <w:t>Δ/νση Επικοινωνίας ΑΑΔΕ</w:t>
      </w:r>
    </w:p>
    <w:p>
      <w:pPr>
        <w:spacing w:before="240" w:after="240"/>
        <w:rPr>
          <w:lang w:val="el" w:eastAsia="el"/>
        </w:rPr>
      </w:pPr>
      <w:r>
        <w:rPr>
          <w:u w:val="single"/>
          <w:lang w:val="el" w:eastAsia="el"/>
        </w:rPr>
        <w:t xml:space="preserve">7. </w:t>
      </w:r>
      <w:r>
        <w:rPr>
          <w:b/>
          <w:bCs/>
          <w:u w:val="single"/>
          <w:lang w:val="el" w:eastAsia="el"/>
        </w:rPr>
        <w:t>Δ/νση Εξυπηρέτησης ΑΑΔΕ</w:t>
      </w:r>
    </w:p>
    <w:p>
      <w:pPr>
        <w:spacing w:before="240" w:after="240"/>
        <w:rPr>
          <w:lang w:val="el" w:eastAsia="el"/>
        </w:rPr>
      </w:pPr>
      <w:r>
        <w:rPr>
          <w:u w:val="single"/>
          <w:lang w:val="el" w:eastAsia="el"/>
        </w:rPr>
        <w:t xml:space="preserve">8. </w:t>
      </w:r>
      <w:r>
        <w:rPr>
          <w:b/>
          <w:bCs/>
          <w:u w:val="single"/>
          <w:lang w:val="el" w:eastAsia="el"/>
        </w:rPr>
        <w:t>Δ/νση Ελεγκτικών Διαδικασιών ΑΑΔΕ</w:t>
      </w:r>
    </w:p>
    <w:p>
      <w:pPr>
        <w:spacing w:before="240" w:after="240"/>
        <w:rPr>
          <w:lang w:val="el" w:eastAsia="el"/>
        </w:rPr>
      </w:pPr>
      <w:r>
        <w:rPr>
          <w:u w:val="single"/>
          <w:lang w:val="el" w:eastAsia="el"/>
        </w:rPr>
        <w:t xml:space="preserve">9. </w:t>
      </w:r>
      <w:r>
        <w:rPr>
          <w:b/>
          <w:bCs/>
          <w:u w:val="single"/>
          <w:lang w:val="el" w:eastAsia="el"/>
        </w:rPr>
        <w:t>Δ/νση Επιχειρησιακού Σχεδιασμού Ελέγχων ΑΑΔΕ</w:t>
      </w:r>
    </w:p>
    <w:p>
      <w:pPr>
        <w:spacing w:before="240" w:after="240"/>
        <w:rPr>
          <w:lang w:val="el" w:eastAsia="el"/>
        </w:rPr>
      </w:pPr>
      <w:r>
        <w:rPr>
          <w:u w:val="single"/>
          <w:lang w:val="el" w:eastAsia="el"/>
        </w:rPr>
        <w:t xml:space="preserve">10. </w:t>
      </w:r>
      <w:r>
        <w:rPr>
          <w:b/>
          <w:bCs/>
          <w:u w:val="single"/>
          <w:lang w:val="el" w:eastAsia="el"/>
        </w:rPr>
        <w:t>Δ/νση Διεθνών Φορολογικών Σχέσεων, Τμήμα Β’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ecd.org/content/dam/oecd/en/topics/policy-sub-issues/convention-on-mutual-administrative-assistance-in-tax-matters/status_of_convention.pdf/_jcr_content/renditions/original./status_of_convention.pdf" TargetMode="External" /><Relationship Id="rId11" Type="http://schemas.openxmlformats.org/officeDocument/2006/relationships/hyperlink" Target="https://www.oecd.org/content/dam/oecd/en/topics/policy-sub-issues/convention-on-mutual-administrative-assistance-in-tax-matters/status_of_convention.pdf/_jcr_content/renditions/original./status_of_convention.pdf" TargetMode="External" /><Relationship Id="rId12" Type="http://schemas.openxmlformats.org/officeDocument/2006/relationships/hyperlink" Target="https://www.oecd.org/content/dam/oecd/en/topics/policy-sub-issues/convention-on-mutual-administrative-assistance-in-tax-matters/status_of_convention.pdf/_jcr_content/renditions/original./status_of_convention.pdf" TargetMode="External" /><Relationship Id="rId13" Type="http://schemas.openxmlformats.org/officeDocument/2006/relationships/hyperlink" Target="https://www.coe.int/en/web/conventions/full-list?module=declarations-by-treaty&amp;numSte=127&amp;codeNature=0" TargetMode="External" /><Relationship Id="rId14" Type="http://schemas.openxmlformats.org/officeDocument/2006/relationships/hyperlink" Target="https://www.coe.int/en/web/conventions/full-list?module=declarations-by-treaty&amp;numSte=127&amp;codeNature=0"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c@aade.gr" TargetMode="External" /><Relationship Id="rId5" Type="http://schemas.openxmlformats.org/officeDocument/2006/relationships/hyperlink" Target="http://www.aade.gr" TargetMode="External" /><Relationship Id="rId6" Type="http://schemas.openxmlformats.org/officeDocument/2006/relationships/hyperlink" Target="https://www.oecd.org/content/dam/oecd/en/topics/policy-issues/tax-transparency-and-international-co-operation/cbc-mcaa-signatories.pdf" TargetMode="External" /><Relationship Id="rId7" Type="http://schemas.openxmlformats.org/officeDocument/2006/relationships/hyperlink" Target="https://www.oecd.org/content/dam/oecd/en/topics/policy-issues/tax-transparency-and-international-co-operation/cbc-mcaa-signatories.pdf" TargetMode="External" /><Relationship Id="rId8" Type="http://schemas.openxmlformats.org/officeDocument/2006/relationships/hyperlink" Target="https://web-archive.oecd.org/temp/2024-04-30/437036-country-by-country-exchange-relationships.htm" TargetMode="External" /><Relationship Id="rId9" Type="http://schemas.openxmlformats.org/officeDocument/2006/relationships/hyperlink" Target="https://web-archive.oecd.org/temp/2024-04-30/437036-country-by-country-exchange-relationship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