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 ΔΙΕΥΘΥΝΣΗ ΕΦΑΡΜΟΓΗΣ ΑΜΕΣΗΣ</w:t>
      </w:r>
    </w:p>
    <w:p>
      <w:pPr>
        <w:pStyle w:val="PreambelText"/>
        <w:spacing w:before="240" w:after="240"/>
        <w:rPr>
          <w:lang w:val="el" w:eastAsia="el"/>
        </w:rPr>
      </w:pPr>
      <w:r>
        <w:rPr>
          <w:b/>
          <w:bCs/>
          <w:lang w:val="el" w:eastAsia="el"/>
        </w:rPr>
        <w:t>ΦΟΡΟΛΟΓΙΑΣ ΤΜΗΜΑ Α΄</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Email url</w:t>
      </w:r>
    </w:p>
    <w:p>
      <w:pPr>
        <w:pStyle w:val="PreambelText"/>
        <w:spacing w:before="240" w:after="240"/>
        <w:rPr>
          <w:lang w:val="el" w:eastAsia="el"/>
        </w:rPr>
      </w:pPr>
      <w:r>
        <w:rPr>
          <w:b/>
          <w:bCs/>
          <w:lang w:val="el" w:eastAsia="el"/>
        </w:rPr>
        <w:t>ΘΕΜΑ: Κοινοποίηση των διατάξεων του άρθρου 36 του ν. 5178/2025 (Α΄22) «Μέτρα για την ισόρροπη εκπροσώπηση των φύλων σε θέσεις διευθυντικών στελεχών των εισηγμένων εταιρειών, των μη εισηγμένων ανωνύμων εταιρειών και των δημοσίων επιχειρήσεων - Ενσωμάτωση της Οδηγίας (Ε.Ε.) 2022/2381 του Ευρωπαϊκού Κοινοβουλίου και του Συμβουλίου της 23ης Νοεμβρίου 2022 - Ρυθμίσεις για την ενδυνάμωση των πιλοτικών προγραμμάτων για την ενίσχυση της κοινωνικής συνοχής - Πρόγραμμα Δημογραφικής Ανάπτυξης και άλλες διατάξεις».</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του άρθρου 36 του ν. 5178/2025</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του άρθρου 36 του ν. 5178/2025: «Απαλλαγές εισοδήματος από μισθωτή εργασία και συντάξεις - Τροποποίηση παρ. 1 άρθρου 14 Κώδικα Φορολογίας Εισοδήματος»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b/>
          <w:bCs/>
          <w:lang w:val="el" w:eastAsia="el"/>
        </w:rPr>
        <w:t>Το άρθρο 36 αφορά φυσικά πρόσωπα</w:t>
      </w:r>
    </w:p>
    <w:p>
      <w:pPr>
        <w:pStyle w:val="PreambelText"/>
        <w:spacing w:before="240" w:after="240"/>
        <w:rPr>
          <w:lang w:val="el" w:eastAsia="el"/>
        </w:rPr>
      </w:pPr>
      <w:r>
        <w:rPr>
          <w:b/>
          <w:bCs/>
          <w:lang w:val="el" w:eastAsia="el"/>
        </w:rPr>
        <w:t>Σας κοινοποιούμε, εκ νέου, συνημμένα, για ενημέρωση και εφαρμογή, τις διατάξεις του άρθρου</w:t>
      </w:r>
    </w:p>
    <w:p>
      <w:pPr>
        <w:pStyle w:val="PreambelText"/>
        <w:spacing w:before="240" w:after="240"/>
        <w:rPr>
          <w:lang w:val="el" w:eastAsia="el"/>
        </w:rPr>
      </w:pPr>
      <w:r>
        <w:rPr>
          <w:b/>
          <w:bCs/>
          <w:lang w:val="el" w:eastAsia="el"/>
        </w:rPr>
        <w:t>36 του ν. 5178/2025 (Α΄22), κατόπιν επανεκτύπωσης την 03.04.2025 λόγω σφάλματος του υπ’ αριθ. ΦΕΚ Α΄22/14.02.25, ως εξής:</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«Απαλλαγές εισοδήματος από μισθωτή εργασία και συντάξεις - Τροποποίηση παρ. 1 άρθρου 14 Κώδικα Φορολογίας Εισοδήματος»</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παρ.1 του άρθρου 36 του κοινοποιούμενου νόμου, ορίζεται ότι στην παρ. 1 του άρθρου 14 του Κώδικα Φορολογίας Εισοδήματος (ν. 4172/2013, Α’ 167), περί απαλλαγών εισοδήματος από μισθωτή εργασία και συντάξεις, επέρχονται οι ακόλουθες τροποποιήσεις: α) στην περ. ε): αα) οι λέξεις «που καταβάλλει ο εργαζόμενος περιλαμβανομένων των εισφορών εργοδότη και εργαζομένου» αντικαθίστανται από τις λέξεις «που καταβάλλονται από τον εργαζόμενο ή τον εργοδότη για λογαριασμό του εργαζομένου», αβ) οι λέξεις «το είκοσι τοις εκατό (20%) του ακαθάριστου εισοδήματος του εργαζομένου από μισθωτή εργασία» αντικαθίστανται από τις λέξεις «το ανώτατο ποσό που προβλέπεται στην παρ. 1 του άρθρου 105 του ν. 5078/2023 (Α’ 211)», β) στην περ. ι) οι λέξεις «το είκοσι τοις εκατό (20%) του ακαθάριστου εισοδήματος του εργαζομένου από μισθωτή εργασία» αντικαθίστανται από τις λέξεις «το ανώτατο ποσό που προβλέπεται στην παρ. 1 του άρθρου 105 του ν. 5078/2023», γ) στην περ. ια): γα) μετά από τις λέξεις «για την ιατροφαρμακευτική και νοσοκομειακή κάλυψη του εργαζομένου» προστίθενται οι λέξεις «, του συζύγου και των τέκνων του», γβ) οι λέξεις «του υπαλληλικού του προσωπικού» αντικαθίστανται από τις λέξεις «του εργαζόμενου, του συζύγου και των τέκνων του» και η παρ.1 διαμορφώνεται ως εξής:</w:t>
      </w:r>
    </w:p>
    <w:p>
      <w:pPr>
        <w:spacing w:before="240" w:after="240"/>
        <w:rPr>
          <w:lang w:val="el" w:eastAsia="el"/>
        </w:rPr>
      </w:pPr>
      <w:r>
        <w:rPr>
          <w:b/>
          <w:bCs/>
          <w:lang w:val="el" w:eastAsia="el"/>
        </w:rPr>
        <w:t>«1.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spacing w:before="240" w:after="240"/>
        <w:rPr>
          <w:lang w:val="el" w:eastAsia="el"/>
        </w:rPr>
      </w:pPr>
      <w:r>
        <w:rPr>
          <w:b/>
          <w:bCs/>
          <w:lang w:val="el" w:eastAsia="el"/>
        </w:rPr>
        <w:t>β) 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spacing w:before="240" w:after="240"/>
        <w:rPr>
          <w:lang w:val="el" w:eastAsia="el"/>
        </w:rPr>
      </w:pPr>
      <w:r>
        <w:rPr>
          <w:b/>
          <w:bCs/>
          <w:lang w:val="el" w:eastAsia="el"/>
        </w:rPr>
        <w:t>γ) το επίδομα αλλοδαπής που χορηγείται σε υπαλλήλους του Υπουργείου Εξωτερικών και των λοιπών δημόσιων πολιτικών υπηρεσιών,</w:t>
      </w:r>
    </w:p>
    <w:p>
      <w:pPr>
        <w:spacing w:before="240" w:after="240"/>
        <w:rPr>
          <w:lang w:val="el" w:eastAsia="el"/>
        </w:rPr>
      </w:pPr>
      <w:r>
        <w:rPr>
          <w:b/>
          <w:bCs/>
          <w:lang w:val="el" w:eastAsia="el"/>
        </w:rPr>
        <w:t>δ) 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spacing w:before="240" w:after="240"/>
        <w:rPr>
          <w:lang w:val="el" w:eastAsia="el"/>
        </w:rPr>
      </w:pPr>
      <w:r>
        <w:rPr>
          <w:b/>
          <w:bCs/>
          <w:lang w:val="el" w:eastAsia="el"/>
        </w:rPr>
        <w:t>ε) 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pPr>
        <w:spacing w:before="240" w:after="240"/>
        <w:rPr>
          <w:lang w:val="el" w:eastAsia="el"/>
        </w:rPr>
      </w:pPr>
      <w:r>
        <w:rPr>
          <w:b/>
          <w:bCs/>
          <w:lang w:val="el" w:eastAsia="el"/>
        </w:rPr>
        <w:t>στ) 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 ζ) η αξία των διατακτικών σίτισης αξίας έως έξι (6) ευρώ ανά εργάσιμη ημέρα, η) οι παροχές ασήμαντης αξίας μέχρι του ποσού των είκοσι επτά (27) ευρώ ετησίως,</w:t>
      </w:r>
    </w:p>
    <w:p>
      <w:pPr>
        <w:spacing w:before="240" w:after="240"/>
        <w:rPr>
          <w:lang w:val="el" w:eastAsia="el"/>
        </w:rPr>
      </w:pPr>
      <w:r>
        <w:rPr>
          <w:b/>
          <w:bCs/>
          <w:lang w:val="el" w:eastAsia="el"/>
        </w:rPr>
        <w:t>ι) 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ανώτατο ποσό που προβλέπεται στην παρ. 1 του άρθρου 105 του ν.</w:t>
      </w:r>
    </w:p>
    <w:p>
      <w:pPr>
        <w:spacing w:before="240" w:after="240"/>
        <w:rPr>
          <w:lang w:val="el" w:eastAsia="el"/>
        </w:rPr>
      </w:pPr>
      <w:r>
        <w:rPr>
          <w:b/>
          <w:bCs/>
          <w:lang w:val="el" w:eastAsia="el"/>
        </w:rPr>
        <w:t>5078/2023, εκτός εάν η υπέρβαση αφορά ποσά, η καταβολή των οποίων επιβάλλεται με απόφαση της αρμόδιας εποπτικής αρχής,</w:t>
      </w:r>
    </w:p>
    <w:p>
      <w:pPr>
        <w:spacing w:before="240" w:after="240"/>
        <w:rPr>
          <w:lang w:val="el" w:eastAsia="el"/>
        </w:rPr>
      </w:pPr>
      <w:r>
        <w:rPr>
          <w:b/>
          <w:bCs/>
          <w:lang w:val="el" w:eastAsia="el"/>
        </w:rPr>
        <w:t>ια) 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εργαζόμενου,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 ιβ) η αποζημίωση για αγορά μηνιαίων ή ετήσιων καρτών απεριορίστων διαδρομών μέσων μαζικής μεταφοράς,</w:t>
      </w:r>
    </w:p>
    <w:p>
      <w:pPr>
        <w:spacing w:before="240" w:after="240"/>
        <w:rPr>
          <w:lang w:val="el" w:eastAsia="el"/>
        </w:rPr>
      </w:pPr>
      <w:r>
        <w:rPr>
          <w:b/>
          <w:bCs/>
          <w:lang w:val="el" w:eastAsia="el"/>
        </w:rPr>
        <w:t>ιγ) 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spacing w:before="240" w:after="240"/>
        <w:rPr>
          <w:lang w:val="el" w:eastAsia="el"/>
        </w:rPr>
      </w:pPr>
      <w:r>
        <w:rPr>
          <w:b/>
          <w:bCs/>
          <w:lang w:val="el" w:eastAsia="el"/>
        </w:rPr>
        <w:t>ιδ) 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spacing w:before="240" w:after="240"/>
        <w:rPr>
          <w:lang w:val="el" w:eastAsia="el"/>
        </w:rPr>
      </w:pPr>
      <w:r>
        <w:rPr>
          <w:b/>
          <w:bCs/>
          <w:lang w:val="el" w:eastAsia="el"/>
        </w:rPr>
        <w:t>ιε) 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spacing w:before="240" w:after="240"/>
        <w:rPr>
          <w:lang w:val="el" w:eastAsia="el"/>
        </w:rPr>
      </w:pPr>
      <w:r>
        <w:rPr>
          <w:b/>
          <w:bCs/>
          <w:lang w:val="el" w:eastAsia="el"/>
        </w:rPr>
        <w:t>ιζ) 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spacing w:before="240" w:after="240"/>
        <w:rPr>
          <w:lang w:val="el" w:eastAsia="el"/>
        </w:rPr>
      </w:pPr>
      <w:r>
        <w:rPr>
          <w:b/>
          <w:bCs/>
          <w:lang w:val="el" w:eastAsia="el"/>
        </w:rPr>
        <w:t>ιη) η αξία των διατακτικών εσωτερικού τουρισμού συνολικής αξίας έως τριακοσίων (300) ευρώ ετησίως για τα φορολογικά έτη 2020 και 2021,</w:t>
      </w:r>
    </w:p>
    <w:p>
      <w:pPr>
        <w:spacing w:before="240" w:after="240"/>
        <w:rPr>
          <w:lang w:val="el" w:eastAsia="el"/>
        </w:rPr>
      </w:pPr>
      <w:r>
        <w:rPr>
          <w:b/>
          <w:bCs/>
          <w:lang w:val="el" w:eastAsia="el"/>
        </w:rPr>
        <w:t>ιθ) ανεξαρτήτως του φορέα που το χορηγεί, το εξωϊδρυματικό επίδομα και κάθε συναφές ποσό που καταβάλλεται σε ειδικές κατηγορίες ατόμων με αναπηρίες,</w:t>
      </w:r>
    </w:p>
    <w:p>
      <w:pPr>
        <w:spacing w:before="240" w:after="240"/>
        <w:rPr>
          <w:lang w:val="el" w:eastAsia="el"/>
        </w:rPr>
      </w:pPr>
      <w:r>
        <w:rPr>
          <w:b/>
          <w:bCs/>
          <w:lang w:val="el" w:eastAsia="el"/>
        </w:rPr>
        <w:t>κ) 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spacing w:before="240" w:after="240"/>
        <w:rPr>
          <w:lang w:val="el" w:eastAsia="el"/>
        </w:rPr>
      </w:pPr>
      <w:r>
        <w:rPr>
          <w:b/>
          <w:bCs/>
          <w:lang w:val="el" w:eastAsia="el"/>
        </w:rPr>
        <w:t>α)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spacing w:before="240" w:after="240"/>
        <w:rPr>
          <w:lang w:val="el" w:eastAsia="el"/>
        </w:rPr>
      </w:pPr>
      <w:r>
        <w:rPr>
          <w:b/>
          <w:bCs/>
          <w:lang w:val="el" w:eastAsia="el"/>
        </w:rPr>
        <w:t>β) καταβάλλεται στον εργαζόμενο από τον εργοδότη καθ’ υπέρβαση των συμφωνημένων αποδοχών,</w:t>
      </w:r>
    </w:p>
    <w:p>
      <w:pPr>
        <w:spacing w:before="240" w:after="240"/>
        <w:rPr>
          <w:lang w:val="el" w:eastAsia="el"/>
        </w:rPr>
      </w:pPr>
      <w:r>
        <w:rPr>
          <w:b/>
          <w:bCs/>
          <w:lang w:val="el" w:eastAsia="el"/>
        </w:rPr>
        <w:t>γ) αποδεδειγμένα χρησιμοποιείται για την κάλυψη των εξόδων βρεφονηπιακών και παιδικών σταθμών, καθώς:</w:t>
      </w:r>
    </w:p>
    <w:p>
      <w:pPr>
        <w:spacing w:before="240" w:after="240"/>
        <w:rPr>
          <w:lang w:val="el" w:eastAsia="el"/>
        </w:rPr>
      </w:pPr>
      <w:r>
        <w:rPr>
          <w:b/>
          <w:bCs/>
          <w:lang w:val="el" w:eastAsia="el"/>
        </w:rPr>
        <w:t>γα) 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spacing w:before="240" w:after="240"/>
        <w:rPr>
          <w:lang w:val="el" w:eastAsia="el"/>
        </w:rPr>
      </w:pPr>
      <w:r>
        <w:rPr>
          <w:b/>
          <w:bCs/>
          <w:lang w:val="el" w:eastAsia="el"/>
        </w:rPr>
        <w:t>γβ) καταβάλλεται στον εργαζόμενο με μορφή διατακτικών προς τον πάροχο των υπηρεσιών ή γγ) καταβάλλεται απευθείας από τον εργοδότη στον τρίτο πάροχο των υπηρεσιών,</w:t>
      </w:r>
    </w:p>
    <w:p>
      <w:pPr>
        <w:spacing w:before="240" w:after="240"/>
        <w:rPr>
          <w:lang w:val="el" w:eastAsia="el"/>
        </w:rPr>
      </w:pPr>
      <w:r>
        <w:rPr>
          <w:b/>
          <w:bCs/>
          <w:lang w:val="el" w:eastAsia="el"/>
        </w:rPr>
        <w:t>κα) 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spacing w:before="240" w:after="240"/>
        <w:rPr>
          <w:lang w:val="el" w:eastAsia="el"/>
        </w:rPr>
      </w:pPr>
      <w:r>
        <w:rPr>
          <w:b/>
          <w:bCs/>
          <w:lang w:val="el" w:eastAsia="el"/>
        </w:rPr>
        <w:t>α) 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β) 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spacing w:before="240" w:after="240"/>
        <w:rPr>
          <w:lang w:val="el" w:eastAsia="el"/>
        </w:rPr>
      </w:pPr>
      <w:r>
        <w:rPr>
          <w:b/>
          <w:bCs/>
          <w:lang w:val="el" w:eastAsia="el"/>
        </w:rPr>
        <w:t>γ) η παροχή έχει αναγγελθεί στην Επιθεώρηση Εργασίας.</w:t>
      </w:r>
    </w:p>
    <w:p>
      <w:pPr>
        <w:spacing w:before="240" w:after="240"/>
        <w:rPr>
          <w:lang w:val="el" w:eastAsia="el"/>
        </w:rPr>
      </w:pPr>
      <w:r>
        <w:rPr>
          <w:b/>
          <w:bCs/>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παρ. 2 του άρθρου 36 του κοινοποιούμενου νόμου, ορίζεται ότι η παρ. 1 εφαρμόζεται για εισφορές και ασφάλιστρα που καταβάλλονται από το φορολογικό έτος 2024 και μετά.</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Συνημμένο: Απόσπασμα του ΦΕΚ Α’ 22/14.2.2025 (ν.5178/2025) / επανεκτύπωση στις</w:t>
      </w:r>
    </w:p>
    <w:p>
      <w:pPr>
        <w:pStyle w:val="MainText"/>
        <w:spacing w:before="120" w:after="0"/>
        <w:rPr>
          <w:lang w:val="el" w:eastAsia="el"/>
        </w:rPr>
      </w:pPr>
      <w:r>
        <w:rPr>
          <w:b/>
          <w:bCs/>
          <w:lang w:val="el" w:eastAsia="el"/>
        </w:rPr>
        <w:t>03.</w:t>
      </w:r>
      <w:r>
        <w:rPr>
          <w:lang w:val="el" w:eastAsia="el"/>
        </w:rPr>
        <w:t xml:space="preserve"> </w:t>
      </w:r>
      <w:r>
        <w:rPr>
          <w:b/>
          <w:bCs/>
          <w:lang w:val="el" w:eastAsia="el"/>
        </w:rPr>
        <w:t>04.2025</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6.</w:t>
      </w:r>
      <w:r>
        <w:rPr>
          <w:lang w:val="el" w:eastAsia="el"/>
        </w:rPr>
        <w:t xml:space="preserve"> </w:t>
      </w:r>
      <w:r>
        <w:rPr>
          <w:b/>
          <w:bCs/>
          <w:lang w:val="el" w:eastAsia="el"/>
        </w:rPr>
        <w:t>Γραφείο Γενικής Γραμματέως Φορολογικής Πολιτικής</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Διαδικασιών Εισπράξεων και Επιστροφών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