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Γ2γ/Γ.Π.5853</w:t>
      </w:r>
    </w:p>
    <w:p>
      <w:pPr>
        <w:spacing w:before="240" w:after="240"/>
        <w:rPr>
          <w:lang w:val="el" w:eastAsia="el"/>
        </w:rPr>
      </w:pPr>
      <w:r>
        <w:rPr>
          <w:b/>
          <w:bCs/>
          <w:lang w:val="el" w:eastAsia="el"/>
        </w:rPr>
        <w:t>Καθορισμός του τρόπου και της διαδικασίας είσπραξης και απόδοσης παρακρατούμενου ποσοστού ύψους δύο τοις εκατό (2%) υπέρ ψυχικής υγείας επί των συμβάσεων του άρθρου 18 του ν. 5129/2024 (Α’ 124).</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ΕΘΝΙΚΗΣ ΟΙΚΟΝΟΜΙΑΣ ΚΑΙ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Τον ν. 5129/2024 «Ολοκλήρωση της ψυχιατρικής μεταρρύθμισης» (Α’ 124) και ιδίως το άρθρο 18 και την παρ. 8 του άρθρου 79.</w:t>
      </w:r>
    </w:p>
    <w:p>
      <w:pPr>
        <w:spacing w:before="240" w:after="240"/>
        <w:rPr>
          <w:lang w:val="el" w:eastAsia="el"/>
        </w:rPr>
      </w:pPr>
      <w:r>
        <w:rPr>
          <w:lang w:val="el" w:eastAsia="el"/>
        </w:rPr>
        <w:t>2. Τον ν. 4412/2016 «Δημόσιες Συμβάσεις Έργων, Προμηθειών και Υπηρεσιών (προσαρμογή στις οδηγίες 2014/24/ΕΕ και 2014/25/ΕΕ), (Α’ 147).</w:t>
      </w:r>
    </w:p>
    <w:p>
      <w:pPr>
        <w:spacing w:before="240" w:after="240"/>
        <w:rPr>
          <w:lang w:val="el" w:eastAsia="el"/>
        </w:rPr>
      </w:pPr>
      <w:r>
        <w:rPr>
          <w:lang w:val="el" w:eastAsia="el"/>
        </w:rPr>
        <w:t>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5. Το μέρος Α του ν. 4865/2021 «Σύσταση και οργάνωση νομικού προσώπου ιδιωτικού δικαίου με την επωνυμία “Εθνική Κεντρική Αρχή Προμηθειών Υγείας”, στρατηγική κεντρικών προμηθειών προϊόντων και υπηρεσιών υγείας και άλλες επείγουσες διατάξεις για τη δημόσια υγεία και την κοινωνική πρόνοια» (Α’ 238).</w:t>
      </w:r>
    </w:p>
    <w:p>
      <w:pPr>
        <w:spacing w:before="240" w:after="240"/>
        <w:rPr>
          <w:lang w:val="el" w:eastAsia="el"/>
        </w:rPr>
      </w:pPr>
      <w:r>
        <w:rPr>
          <w:lang w:val="el" w:eastAsia="el"/>
        </w:rPr>
        <w:t>6. Το άρθρο 90 του Κώδικα νομοθεσίας για την Κυβέρνηση και τα κυβερνητικά όργανα (π.δ. 63/2005, A’ 98), το οποίο διατηρήθηκε σε ισχύ με την περ. 22 του άρθρου 119 του ν. 4622/2019 (Α’133).</w:t>
      </w:r>
    </w:p>
    <w:p>
      <w:pPr>
        <w:spacing w:before="240" w:after="240"/>
        <w:rPr>
          <w:lang w:val="el" w:eastAsia="el"/>
        </w:rPr>
      </w:pPr>
      <w:r>
        <w:rPr>
          <w:lang w:val="el" w:eastAsia="el"/>
        </w:rPr>
        <w:t>7. Το π.δ. 121/2017 «Οργανισμός του Υπουργείου Υγείας» (Α’ 148).</w:t>
      </w:r>
    </w:p>
    <w:p>
      <w:pPr>
        <w:spacing w:before="240" w:after="240"/>
        <w:rPr>
          <w:lang w:val="el" w:eastAsia="el"/>
        </w:rPr>
      </w:pPr>
      <w:r>
        <w:rPr>
          <w:lang w:val="el" w:eastAsia="el"/>
        </w:rPr>
        <w:t>8. Το π.δ. 142/2017 «Οργανισμός Υπουργείου Οικονομικών» (Α’ 181).</w:t>
      </w:r>
    </w:p>
    <w:p>
      <w:pPr>
        <w:spacing w:before="240" w:after="240"/>
        <w:rPr>
          <w:lang w:val="el" w:eastAsia="el"/>
        </w:rPr>
      </w:pPr>
      <w:r>
        <w:rPr>
          <w:lang w:val="el" w:eastAsia="el"/>
        </w:rPr>
        <w:t>9.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10. Το π.δ. 79/2023 «Διορισμός Υπουργών, Αναπληρωτών Υπουργών και Υφυπουργών» (Α’ 131).</w:t>
      </w:r>
    </w:p>
    <w:p>
      <w:pPr>
        <w:spacing w:before="240" w:after="240"/>
        <w:rPr>
          <w:lang w:val="el" w:eastAsia="el"/>
        </w:rPr>
      </w:pPr>
      <w:r>
        <w:rPr>
          <w:lang w:val="el" w:eastAsia="el"/>
        </w:rPr>
        <w:t>11.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Μεταβατικές διατάξεις» (Α’ 139).</w:t>
      </w:r>
    </w:p>
    <w:p>
      <w:pPr>
        <w:spacing w:before="240" w:after="240"/>
        <w:rPr>
          <w:lang w:val="el" w:eastAsia="el"/>
        </w:rPr>
      </w:pPr>
      <w:r>
        <w:rPr>
          <w:lang w:val="el" w:eastAsia="el"/>
        </w:rPr>
        <w:t>12. Την υπό στοιχεία 102928 ΕΞ 2023/10.7.2023 κοινή απόφαση του Πρωθυπουργού και του Υπουργού Οικονομικών με θέμα «Ανάθεση αρμοδιοτήτων στον Υφυπουργό Οικονομικών, Αθανάσιο Πετραλιά» (Β’ 4441).</w:t>
      </w:r>
    </w:p>
    <w:p>
      <w:pPr>
        <w:spacing w:before="240" w:after="240"/>
        <w:rPr>
          <w:lang w:val="el" w:eastAsia="el"/>
        </w:rPr>
      </w:pPr>
      <w:r>
        <w:rPr>
          <w:lang w:val="el" w:eastAsia="el"/>
        </w:rPr>
        <w:t>13. Την υπ’ αρ.37310/9.7.2023 κοινή απόφαση του Πρωθυπουργού και του Υπουργού Υγείας με θέμα «Ανάθεση αρμοδιοτήτων στον Υφυπουργό Υγείας, Μάριο Θεμιστοκλέους» (Β’ 4435).</w:t>
      </w:r>
    </w:p>
    <w:p>
      <w:pPr>
        <w:spacing w:before="240" w:after="240"/>
        <w:rPr>
          <w:lang w:val="el" w:eastAsia="el"/>
        </w:rPr>
      </w:pPr>
      <w:r>
        <w:rPr>
          <w:lang w:val="el" w:eastAsia="el"/>
        </w:rPr>
        <w:t>14. Την υπό στοιχεία 52445 ΕΞ 2023/4.4.2023 κοινή υπουργική απόφαση «Υποχρέωση υποβολής ηλεκτρονικών τιμολογίων από τους οικονομικούς φορείς» (Β’ 2385).</w:t>
      </w:r>
    </w:p>
    <w:p>
      <w:pPr>
        <w:spacing w:before="240" w:after="240"/>
        <w:rPr>
          <w:lang w:val="el" w:eastAsia="el"/>
        </w:rPr>
      </w:pPr>
      <w:r>
        <w:rPr>
          <w:lang w:val="el" w:eastAsia="el"/>
        </w:rPr>
        <w:t>15. Την υπό στοιχεία Γ10 ΕΑΔΗΣΥ/2024/04.12.2024 σύμφωνη γνώμη της Ενιαίας Αρχής Δημοσίων Συμβάσεων (Ε.Α.ΔΗ.ΣΥ.) για την έκδοση της παρούσας απόφασης.</w:t>
      </w:r>
    </w:p>
    <w:p>
      <w:pPr>
        <w:spacing w:before="240" w:after="240"/>
        <w:rPr>
          <w:lang w:val="el" w:eastAsia="el"/>
        </w:rPr>
      </w:pPr>
      <w:r>
        <w:rPr>
          <w:lang w:val="el" w:eastAsia="el"/>
        </w:rPr>
        <w:t>16. Την υπό στοιχεία 98979 ΕΞ (Β’ 3766/2021) κοινή υπουργική απόφαση «Ηλεκτρονική Τιμολόγηση στο πλαίσιο των Δημοσίων Συμβάσεων δυνάμει του ν. 4601/2019» (Α’ 44).</w:t>
      </w:r>
    </w:p>
    <w:p>
      <w:pPr>
        <w:spacing w:before="240" w:after="240"/>
        <w:rPr>
          <w:lang w:val="el" w:eastAsia="el"/>
        </w:rPr>
      </w:pPr>
      <w:r>
        <w:rPr>
          <w:lang w:val="el" w:eastAsia="el"/>
        </w:rPr>
        <w:t>17. Την υπ’ αρ. 1017/27.01.2020 υπουργική απόφαση «Καθορισμός της μορφής του προτύπου έκδοσης του ηλεκτρονικού τιμολογίου, σύμφωνα με το ευρωπαϊκό πρότυπο έκδοσης ηλεκτρονικών τιμολογίων» (Β’ 457).</w:t>
      </w:r>
    </w:p>
    <w:p>
      <w:pPr>
        <w:spacing w:before="240" w:after="240"/>
        <w:rPr>
          <w:lang w:val="el" w:eastAsia="el"/>
        </w:rPr>
      </w:pPr>
      <w:r>
        <w:rPr>
          <w:lang w:val="el" w:eastAsia="el"/>
        </w:rPr>
        <w:t>18. Το υπό στοιχεία Β1α/οικ.50749/26.09.2024 έγγραφο της Διεύθυνσης Προϋπολογισμού και Δημ/κών Αναφορών του Υπουργείου Υγείας προς το Γ.Λ.Κ. με θέμα «Αλλαγή ονομασίας ΑΛΕ».</w:t>
      </w:r>
    </w:p>
    <w:p>
      <w:pPr>
        <w:spacing w:before="240" w:after="240"/>
        <w:rPr>
          <w:lang w:val="el" w:eastAsia="el"/>
        </w:rPr>
      </w:pPr>
      <w:r>
        <w:rPr>
          <w:lang w:val="el" w:eastAsia="el"/>
        </w:rPr>
        <w:t>19. Την υπό στοιχεία 2/94945/ΔΠΓΚ/14.10.2024 (Β’ 5730) απόφαση του Υφυπουργού Οικονομίας και Οικονομικών.</w:t>
      </w:r>
    </w:p>
    <w:p>
      <w:pPr>
        <w:spacing w:before="240" w:after="240"/>
        <w:rPr>
          <w:lang w:val="el" w:eastAsia="el"/>
        </w:rPr>
      </w:pPr>
      <w:r>
        <w:rPr>
          <w:lang w:val="el" w:eastAsia="el"/>
        </w:rPr>
        <w:t>20. Την υπό στοιχεία Β1α/οικ.8135/18.02.2025 εισήγηση του Αναπληρωτή Προϊσταμένου της Γενικής Διεύθυνσης Οικονομικών Υπηρεσιών του Υπουργείου Υγείας, σύμφωνα με την παρ. 5, του άρθρου 24 του ν. 4270/2014, από την οποία προκύπτει, ότι από το περιεχόμενο της εν θέματι κοινής απόφασης δεν προκαλείται επιπρόσθετη δαπάνη σε βάρος του προϋπολογισμού του Υπουργείου Υγείας, καθότι αναφέρεται στον καθορισμό του τρόπου και της διαδικασίας είσπραξης και απόδοσης παρακρατούμενου ποσοστού (2%) των συμβάσεων υπέρ ψυχικής υγείας.</w:t>
      </w:r>
    </w:p>
    <w:p>
      <w:pPr>
        <w:spacing w:before="240" w:after="240"/>
        <w:rPr>
          <w:lang w:val="el" w:eastAsia="el"/>
        </w:rPr>
      </w:pPr>
      <w:r>
        <w:rPr>
          <w:lang w:val="el" w:eastAsia="el"/>
        </w:rPr>
        <w:t>21. Το γεγονός ότι οι διατάξεις της παρούσας δεν αφορούν σε διοικητική διαδικασία για την οποία υπάρχει υποχρέωση καταχώρισης στο ΕΜΔΔ-ΜΙΤΟΣ, αποφασίζουμε:</w:t>
      </w:r>
    </w:p>
    <w:p>
      <w:pPr>
        <w:spacing w:before="240" w:after="240"/>
        <w:rPr>
          <w:lang w:val="el" w:eastAsia="el"/>
        </w:rPr>
      </w:pPr>
      <w:r>
        <w:rPr>
          <w:lang w:val="el" w:eastAsia="el"/>
        </w:rPr>
        <w:t>1. Η παρακράτηση ποσοστού ύψους δύο τοις εκατό (2%) υπέρ ψυχικής υγείας επί των συμβάσεων του άρθρου 9 του ν. 4865/2021 (Α’ 238), περί διενέργειας διαγωνισμών και σύναψης συμβάσεων από την Εθνική Κεντρική Αρχή Προμηθειών Υγείας (Ε.Κ.Α.Π.Υ.), επί των συμβάσεων του άρθρου δέκατου πέμπτου του ν. 5015/2023 (Α’ 20), περί προμήθειας φαρμάκων των νοσοκομείων του Εθνικού Συστήματος Υγείας και του Γενικού Νοσοκομείου Παπαγεωργίου από διαγωνιστικές διαδικασίες που υλοποιεί η Ε.Κ.Α.Π.Υ. και από συμφωνίες που συνάπτει η Επιτροπή Διαπραγμάτευσης Τιμών Φαρμάκων, καθώς και επί όλων των συμβάσεων προμηθειών αγαθών και υπηρεσιών υγείας που συνάπτουν οι φορείς του άρθρου 7 του ν. 4865/2021, περί του υποκειμενικού πεδίου εφαρμογής της Ε.Κ.Α.Π.Υ., εξαιρουμένων των συγχρηματοδοτούμενων, θα γίνεται από τον φορέα που διενεργεί την εξόφληση του τιμολογίου.</w:t>
      </w:r>
    </w:p>
    <w:p>
      <w:pPr>
        <w:spacing w:before="240" w:after="240"/>
        <w:rPr>
          <w:lang w:val="el" w:eastAsia="el"/>
        </w:rPr>
      </w:pPr>
      <w:r>
        <w:rPr>
          <w:lang w:val="el" w:eastAsia="el"/>
        </w:rPr>
        <w:t>2. Η κράτηση επιβάλλεται επί της αξίας του τιμολογίου των συμβάσεων προ Φόρου Προστιθέμενης Αξίας και μετά την αφαίρεση κάθε άλλου παρακρατούμενου ποσού υπέρ τρίτων. Παρακρατείται και αποδίδεται στο Υπουργείο Υγείας, ως εξής:</w:t>
      </w:r>
    </w:p>
    <w:p>
      <w:pPr>
        <w:spacing w:before="240" w:after="240"/>
        <w:rPr>
          <w:lang w:val="el" w:eastAsia="el"/>
        </w:rPr>
      </w:pPr>
      <w:r>
        <w:rPr>
          <w:lang w:val="el" w:eastAsia="el"/>
        </w:rPr>
        <w:t>Τα παρακρατούμενα ποσά κατατίθενται το πρώτο δεκαήμερο του επόμενου από την παρακράτηση μήνα, με μέριμνα και ευθύνη του φορέα που διενεργεί την εξόφληση του τιμολογίου, στην Τράπεζα της Ελλάδος σε πίστωση του λογαριασμού Ν. 200 «Ελληνικό Δημόσιο - Συγκέντρωση εισπράξεων και πληρωμών».</w:t>
      </w:r>
    </w:p>
    <w:p>
      <w:pPr>
        <w:spacing w:before="240" w:after="240"/>
        <w:rPr>
          <w:lang w:val="el" w:eastAsia="el"/>
        </w:rPr>
      </w:pPr>
      <w:r>
        <w:rPr>
          <w:lang w:val="el" w:eastAsia="el"/>
        </w:rPr>
        <w:t>Η εντολή κατάθεσης ή μεταφοράς θα κοινοποιείται στη Διεύθυνση Λογιστικής Γενικής Κυβέρνησης (πρώην Δ24) του Γενικού Λογιστηρίου του Κράτους για την εμφάνιση, ύστερα από την αναγγελία της Τράπεζας της Ελλάδος, των κατατιθεμένων ποσών στον Αναλυτικό Λογαριασμό Εσόδου 1140908001 «Κράτηση υπέρ ψυχικής υγείας επί των τιμολογίων των συμβάσεων του άρθρου 18 του ν. 5129/2024» του κρατικού προϋπολογισμού.</w:t>
      </w:r>
    </w:p>
    <w:p>
      <w:pPr>
        <w:spacing w:before="240" w:after="240"/>
        <w:rPr>
          <w:lang w:val="el" w:eastAsia="el"/>
        </w:rPr>
      </w:pPr>
      <w:r>
        <w:rPr>
          <w:lang w:val="el" w:eastAsia="el"/>
        </w:rPr>
        <w:t>3. Τα ανωτέρω ποσά, μετά την εμφάνισή τους στα έσοδα του κρατικού προϋπολογισμού, εγγράφονται ως πιστώσεις στον προϋπολογισμό του Υπουργείου Υγείας Αναλυτικό Λογαριασμό Εξόδων 2910601024 «Πιστώσεις για το Κεφάλαιο Κοινωνικής και Ανθρωπιστικής Αντίληψης του άρθρου 18 του ν. 5129/2024», σύμφωνα με το άρθρο 74 του ν. 4270/2014.</w:t>
      </w:r>
    </w:p>
    <w:p>
      <w:pPr>
        <w:spacing w:before="240" w:after="240"/>
        <w:rPr>
          <w:lang w:val="el" w:eastAsia="el"/>
        </w:rPr>
      </w:pPr>
      <w:r>
        <w:rPr>
          <w:lang w:val="el" w:eastAsia="el"/>
        </w:rPr>
        <w:t>4. 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Απριλίου 2025</w:t>
      </w:r>
    </w:p>
    <w:p>
      <w:pPr>
        <w:spacing w:before="240" w:after="240"/>
        <w:rPr>
          <w:lang w:val="el" w:eastAsia="el"/>
        </w:rPr>
      </w:pPr>
      <w:r>
        <w:rPr>
          <w:lang w:val="el" w:eastAsia="el"/>
        </w:rPr>
        <w:t>Οι Υφυπουργοί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5"/>
        <w:gridCol w:w="2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ΘΕΜΙΣΤΟΚΛΕΟΥΣ</w:t>
            </w:r>
          </w:p>
        </w:tc>
      </w:tr>
    </w:tbl>
    <w:p>
      <w:pPr>
        <w:spacing w:before="240" w:after="240"/>
        <w:rPr>
          <w:lang w:val="el" w:eastAsia="el"/>
        </w:rPr>
      </w:pPr>
      <w:r>
        <w:rPr>
          <w:b/>
          <w:bCs/>
          <w:lang w:val="el" w:eastAsia="el"/>
        </w:rPr>
        <w:t>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